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KC20.020761 vom 3. November 2020</w:t>
      </w:r>
    </w:p>
    <w:p>
      <w:r>
        <w:t>VD Tribunal cantonal, 2020-11-03, FR</w:t>
      </w:r>
    </w:p>
    <w:p>
      <w:r>
        <w:rPr>
          <w:b/>
        </w:rPr>
        <w:t xml:space="preserve">Quelle: </w:t>
      </w:r>
      <w:r>
        <w:t>https://mcp.opencaselaw.ch/entscheid/vd_gerichte_KC20.020761</w:t>
      </w:r>
    </w:p>
    <w:p>
      <w:r>
        <w:t>FR: VD_GERICHTE KC20.020761 du 3 novembre 2020</w:t>
      </w:r>
    </w:p>
    <w:p>
      <w:r>
        <w:t>IT: VD_GERICHTE KC20.020761 del 3 novembre 2020</w:t>
      </w:r>
    </w:p>
    <w:p>
      <w:pPr>
        <w:pStyle w:val="Heading2"/>
      </w:pPr>
      <w:r>
        <w:t>Volltext</w:t>
      </w:r>
    </w:p>
    <w:p>
      <w:r>
        <w:t>TRIBUNAL CANTONAL KC20.020761-201229 269 CO UR DE S P OURSUITES ET FAILL ITES ________________________________________________ Arrêt du 3 novembre 2020 __________________ Composition :M. MAILLARD, président M. HackCherpillod, juges Greffier : Mme Joye ***** Art. 321 al. 1 CPC Vu le prononcé rendu sous forme de dispositif le 20 juillet 2020, à la suite d’une audience tenue contradictoirement le 14 juillet 2020, par lequel la Juge de paix du district d’Aigle a prononcé, à concurrence de 3'274 fr. 10 plus intérêts à 5% l’an dès le 1er février 2020, sous déduction de 1'855 fr. 30 valeur au 3 juillet 2020, la mainlevée provisoire de l’opposition formée par N.________, à Aigle, à la poursuite n° 9'576’209 de l’Office des poursuites du même district introduite par V.________, à Aigle, et mis les frais judiciaires, par 150 fr., à la charge du poursuivi ; 111</w:t>
      </w:r>
    </w:p>
    <w:p>
      <w:r>
        <w:t>- 2 - vu la demande de motivation formulée par le poursuivi le 27 juillet 2020, vu les motifs du prononcé adressés aux parties le 17 août 2020 et notifiés au poursuivi le lendemain, 18 août 2020, vu l’acte de recours daté du 26 et posté le 27 août 2020 par N.________, qui explique qu’au vu de son âge, 81 ans, il lui est « impossible de fournir un mémoire écrit et motivé » et demande « l’assistance juridique d’un avocat commis d’office » ; attendu qu'en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CPC, ni l’art. 56 CPC ne sont applicables en cas d’absence de motivation d’un acte de recours (ibid.) ; attendu qu’en l’espèce, l’acte du 26 août 2020, qui est une simple déclaration de recours ne contenant aucune motivation, ne répond pas aux exigences formelles posées par la loi et la jurisprudence, que pour être recevable, le recours devait être motivé dans le délai de recours, qui est arrivé à échéance le 28 août 2020 (dix jours à compter du 18 août 2020), que le délai de recours, qui est fixé par la loi, n'est pas prolongeable (art. 144 al. 1 CPC), que la demande d’assistance judiciaire, présentée la veille de l’échéance du délai de recours, n’est dès lors d’aucun secours au recourant, que dans ces conditions, la cour de céans n’a d’autre choix que de déclarer le recours irrecevable ;</w:t>
      </w:r>
    </w:p>
    <w:p>
      <w:r>
        <w:t>- 4 - attendu qu’au vu de ce qui précède, la cause étant dénuée de chance de succès et le recourant ne démontrant pas son dénuement, la requête d’assis-tance judiciaire doit être rejetée ; attendu que le présent arrêt peut être rendu sans frais. Par ces motifs, la Cour des poursuites et faillites du Tribunal cantonal, statuant à huis clos en sa qualité d'autorité de recours en matière sommaire de poursuites, prononce : I. Le recours est irrecevable. II. La demande d’assistance judiciaire est rejetée. III. L’arrêt, rendu sans frais, est exécutoire. Le président : La greffière : Du L'arrêt qui précède, dont la rédaction a été approuvée à huis clos, est notifié, par l'envoi de photocopies, à :</w:t>
      </w:r>
    </w:p>
    <w:p>
      <w:r>
        <w:t>- 5 - - M. N.________, - V.________. La Cour des poursuites et faillites considère que la valeur litigieuse est de 1'418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