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KC20.014475 vom 23. Juni 2021</w:t>
      </w:r>
    </w:p>
    <w:p>
      <w:r>
        <w:t>VD Tribunal cantonal, 2021-06-23, FR</w:t>
      </w:r>
    </w:p>
    <w:p>
      <w:r>
        <w:rPr>
          <w:b/>
        </w:rPr>
        <w:t xml:space="preserve">Quelle: </w:t>
      </w:r>
      <w:r>
        <w:t>https://mcp.opencaselaw.ch/entscheid/vd_gerichte_KC20.014475</w:t>
      </w:r>
    </w:p>
    <w:p>
      <w:r>
        <w:t>FR: VD_GERICHTE KC20.014475 du 23 juin 2021</w:t>
      </w:r>
    </w:p>
    <w:p>
      <w:r>
        <w:t>IT: VD_GERICHTE KC20.014475 del 23 giugno 2021</w:t>
      </w:r>
    </w:p>
    <w:p>
      <w:pPr>
        <w:pStyle w:val="Heading2"/>
      </w:pPr>
      <w:r>
        <w:t>Erwägungen</w:t>
      </w:r>
    </w:p>
    <w:p>
      <w:r>
        <w:rPr>
          <w:b/>
        </w:rPr>
        <w:t>E. 1</w:t>
      </w:r>
    </w:p>
    <w:p>
      <w:r>
        <w:t>et 4 et conclusion subsidiaire 15). d) L’intimé a déposé des déterminations le 10 juin 2020 et a produit un arrêt du Tribunal fédéral du 28 janvier 2020 (TF 5A_631/2019), déclarant irrecevable le recours d’O.________ contre l’arrêt de la cour de céans du 3 juin 2019 confirmant la mainlevée définitive de ses oppositions à trois commandements de payer notifiés à l’instance d’A.________, faute d’intérêt pour elle à recourir dès lors qu’elle s’était acquittée des montants en poursuite. e) Le 18 juin 2020, la juge de paix a ordonné la production par la recourante des comptes d’exploitation de l’immeuble concerné pour l’exercice 2019 dans un délai au 17 juillet 2020. L’intéressée s’est exécutée le 16 juillet 2020 en produisant le compte de gestion de l’immeuble pour les mois de janvier à octobre 2019 établi par la régie [...] &amp; Cie SA et dito pour les mois de novembre et décembre 2019 établi par la régie [...] SA. Il résulte de ces comptes que l’exploitation de l’immeuble en 2019 a rapporté un bénéfice net de 637'115 fr. 20.</w:t>
      </w:r>
    </w:p>
    <w:p>
      <w:r>
        <w:t>- 9 - f) Par écriture du 24 juillet 2020, l’intimé, constatant que la part de 35,33% du bénéfice net lui revenant selon lui équivalait à 225'092 fr. 80 et non à 230'000 francs comme il l’avait estimé, a modifié les conclusions de sa requête, avec suite de frais et dépens, en ce sens que la mainlevée définitive des oppositions aux cinq commandements de payer litigieux est prononcée à concurrence de : - 14’720 fr. 83 avec intérêts au taux de 5% l’an dès le 1er janvier 2019, - 14’720 fr. 83 avec intérêts au taux de 5% l’an dès le 1er février 2019, - 14’720 fr. 83 avec intérêts au taux de 5% l’an dès le 1er mars 2019, - 14’720 fr. 83 avec intérêts au taux de 5% l’an dès le 1er avril 2019, - 14’720 fr. 83 avec intérêts au taux de 5% l’an dès le 1er mai 2019, - 14’720 fr. 83 avec intérêts au taux de 5% l’an dès le 1er juin 2019, - 14’720 fr. 83 avec intérêts au taux de 5% l’an dès le 1er juillet 2019, - 48’442 fr. 84 avec intérêts au taux de 5% l’an dès le 1er juillet 2019, - 14’720 fr. 83 avec intérêts au taux de 5% l’an dès le 1er août 2019, - 14’720 fr. 83 avec intérêts au taux de 5% l’an dès le 1er septembre 2019, - 14’720 fr. 83 avec intérêts au taux de 5% l’an dès le 1er octobre 2019, - 14’720 fr. 83 avec intérêts au taux de 5% l’an dès le 1er novembre 2019, - 14’720 fr. 83 avec intérêts au taux de 5% l’an dès le 1er décembre 2019.</w:t>
      </w:r>
    </w:p>
    <w:p>
      <w:r>
        <w:rPr>
          <w:b/>
        </w:rPr>
        <w:t>E. 2</w:t>
      </w:r>
    </w:p>
    <w:p>
      <w:r>
        <w:t>Par décision du 28 août 2020, adressée pour notification aux parties sous forme de dispositif le 17 septembre 2020, la Juge de paix du district de Lausanne a prononcé la mainlevée définitive de l’opposition aux commandements de payer nos 9'136’528, 9'239’482, 9'335’429 et 9'433’287, ainsi qu’à concurrence de 48'442 fr. 84 plus intérêts au taux de 5% l’an dès le 1er juillet 2019, pour le commandement de payer n° 9'489'443 (I), a arrêté à 660 fr. les frais judiciaires, compensés avec l’avance de frais du poursuivant (II), les a mis à la charge de la poursuivie (III) et a dit que celle-ci rembourserait au poursuivant son avance de frais à concurrence de 660 fr. et lui verserait la somme de 3'000 fr. à titre de dépens, en défraiement de son représentant professionnel (IV).</w:t>
      </w:r>
    </w:p>
    <w:p>
      <w:r>
        <w:t>- 10 - Par lettre du 28 septembre 2020, la recourante a demandé la motivation de cette décision. Les motifs du prononcé ont été adressés le 12 janvier 2021 aux parties, qui les ont reçus le lendemain. En résumé, la juge de paix a considéré que la convention des parties sur les effets accessoires de leur divorce ratifiée dans le jugement de divorce du 15 février 2001, définitif et exécutoire, prévoyait le versement par la recourante à l’intimé d’une « pension mensuelle », que cette contribution n’était pas chiffrée de manière précise, mais par référence à un pourcentage du revenu locatif net de l’immeuble en cause, que pendant seize ans, l’intimé avait reçu 35.33% de ce revenu sous forme d’acomptes fixes mensuels complétés en janvier de l’année suivante après bouclement des comptes, que la recourante n’avait pas contesté ce mode de procéder, que les créances réclamées étaient ainsi déterminables et fondées sur un titre de mainlevée définitive d’opposition au sens de l’art. 80 al. 1 LP (loi fédérale sur la poursuite pour dettes et la faillite ; RS 281.1) et que la recourante, pour sa part, n’avait pas apporté la preuve par titre d’un moyen libératoire au sens de l’art. 81 LP.</w:t>
      </w:r>
    </w:p>
    <w:p>
      <w:r>
        <w:rPr>
          <w:b/>
        </w:rPr>
        <w:t>E. 3</w:t>
      </w:r>
    </w:p>
    <w:p>
      <w:r>
        <w:t>Par acte du 25 janvier 2021, O.________ a recouru contre le prononcé précité en concluant, principalement, à sa réforme en ce sens que les requêtes de mainlevée définitive concernant les cinq poursuites litigieuses sont rejetées, subsidiairement, à son annulation et au renvoi de la cause en première instance pour nouvelle décision dans le sens des considérants et, en tout état de cause, à la condamnation d’A.________ « en tous les frais et dépens, lesquels couvriront intégralement les honoraires du conseil soussigné » et au rejet de toutes autres, plus amples ou contraires conclusions de l’intimé. Par décision présidentielle du 27 janvier 2021, la requête d’effet suspensif contenue dans le recours a été admise.</w:t>
      </w:r>
    </w:p>
    <w:p>
      <w:r>
        <w:t>- 11 - Par réponse du 22 mars 2021, A.________ a conclu, avec suite de frais et dépens, principalement au refus d’entrer en matière sur le recours et à la condamnation de la recourante à une amende disciplinaire de 2'000 fr., subsidiairement, à l’irrecevabilité du recours et plus subsidiairement, à son rejet.</w:t>
      </w:r>
    </w:p>
    <w:p>
      <w:r>
        <w:rPr>
          <w:b/>
        </w:rPr>
        <w:t>E. 4</w:t>
      </w:r>
    </w:p>
    <w:p>
      <w:r>
        <w:t>Par jugement du 5 juillet 2019, le Président du Tribunal civil de l’arrondissement de Lausanne a rejeté la requête d’interprétation du jugement de divorce déposée par l’intimé le 24 avril 2018. En droit, le premier juge a considéré que la convention du 7 mars 2000, bien que ratifiée dans le jugement de divorce du 15 février 2001, était le produit de la volonté des parties et non de celle du juge et que dès lors, son chiffre III en cause ne pouvait faire l’objet d’une demande d’interprétation par le biais de l’art. 334 CPC, mais devait être interprétée selon les règles de l’art. 18 CO (Code des obligations ; RS 220). Après avoir analysé cette clause, le premier juge a retenu que l’ajout requis par l’intimé ne constituait pas une interprétation du chiffre III de ladite convention, mais une véritable modification (CACI 25 novembre 2019/608 consid. 2). L’appel de l’intimé contre ce jugement a été déclaré irrecevable, la voie de droit n’étant pas la bonne et l’acte n’ayant pas à être converti en recours (idem consid. 5). Saisi d’un recours contre l’arrêt précité de la CACI, le Tribunal fédéral, se référant à l’ATF 143 III 520 consid. 6.2, a jugé qu’une convention de divorce homologuée par le juge peut faire l'objet d'une interprétation qui doit se baser sur le sens voulu par ce magistrat, et non sur les règles applicables à l'interprétation des contrats (art. 18 CO), qu’en effet, contrairement aux transactions conclues au terme d'un litige contractuel, le tribunal doit examiner la convention de divorce et la ratifier uniquement si elle est équitable (art. 279 CPC) et qu’on peut donc interpréter le jugement en se référant à la manière dont le tribunal a compris la volonté des parties (TF 5A_46/2020 du 17 novembre 2020 consid. 4.2.2).</w:t>
      </w:r>
    </w:p>
    <w:p>
      <w:r>
        <w:t>- 12 - En d roit : I. Le recours a été déposé dans les formes requises, par acte écrit et motivé, auprès de la cour de céans, autorité de recours (art. 321 al. 1 CPC [Code de procédure civile ; RS 272), et en temps utile, dans le délai de dix jours qui a suivi la notification de la décision motivée (art. 321 al. 2 CPC). Il est recevable. La détermination de l'intimé, déposée dans le délai de l'art. 322 al. 2 CPC, est également recevable. II. La recourante reproche au premier juge d’avoir prononcé la mainlevée définitive de ses oppositions en violation des art. 80 et 81 LP et 130 CC. a) Le créancier qui est au bénéfice d’un jugement exécutoire peut requérir du juge la mainlevée définitive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142 III 78 consid. 3.1 ; 140 III 180 consid. 5.2.1 ; 124 III 501 consid. 3a). Le juge n’a pas non plus à revoir ni à interpréter le titre qui lui est produit. Si le jugement est peu clair ou incomplet, il appartient au juge du fond de l'interpréter, le préciser ou le compléter (ATF 143 III 564 consid. 4.3.2 ; 136 III 624 consid. 4.2.3 ; 135 III 315 consid. 2.3 ; 134 III 656 consid. 5.3.2</w:t>
      </w:r>
    </w:p>
    <w:p>
      <w:r>
        <w:t>- 13 - et les arrêts cités ; TF 5D_81/2012 du 12 septembre 2012 consid. 3.1 ;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134 III 656 consid. 5.3.2 et les références ; TF 5D_171/2016 du 16 février 2017 consid. 5 ;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5.4.2 ; 135 III 315 consid. 2.3 ; TF 5D_171/2016 consid. 5 précité ; 5A_217/2012 du 9 juillet 2012 consid. 6.1.1).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La jurisprudence a de plus encore réaffirmé récemment que « la mainlevée doit être refusée si, en raison d'une formulation maladroite, le sens de la décision à exécuter ne peut être déterminé avec certitude » (ATF 144 III 193 consid. 2.4.1 - se référant également à l’ATF 143 III 564 consid. 4.3.2 -, JdT 2018 II 351).</w:t>
      </w:r>
    </w:p>
    <w:p>
      <w:r>
        <w:t>- 14 - b) 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cf. ATF 120 IA 82 consid. 6c), le poursuivi ne peut se contenter de rendre vraisemblable sa libération, mais doit en apporter la preuve stricte (ATF 136 III 624 consid. 4.2.1 et les références ; TF 5D_43/2019 du 24 mai 2019 consid. 5.2.1). L'extinction de la dette peut non seulement intervenir par paiement ou compensation mais également en vertu de toutes les causes d'extinction du droit matériel, notamment la remise de dette, la novation, la confusion ou l'accomplissement d'une condition résolutoire (TF 5A_445/2012 du 2 octobre 2013 consid. 4.3 et les références, publié in SJ 2014 I 189). De même, le débiteur d'entretien est valablement libéré s'il établit par titre le remariage du créancier (art. 130 al. 2 CC ; Abbet, in Abbet/Veuillet, La mainlevée de l'opposition, n. 37 ad art. 80 LP et n. 21 ad art. 81 LP ;TF 5P.514/2006 du 13 avril 2007 consid. 3.1). Selon l'art. 130 al. 2 CC, sauf convention contraire, l'obligation d'entretien s'éteint lors du remariage du créancier. Une convention contraire peut être passée au moment de la convention de divorce ou ultérieure- ment ; lorsqu'elle est conclue plus tard, elle n'est soumise à aucune exigence de forme (Pichonnaz, in Pichonnaz/Foëx [éd.], Commentaire romand, Code civil, 2010, n. 22 ad art. 130 CC). Cela ne vaut cependant que pour les contributions d'entretien fixées sous forme de rente (Pichonnaz, op. cit., n. 3 ad art. 130 CC). c) En l’espèce, l’intimé fonde sa requête de mainlevée définitive de l’opposition formée par la recourante sur une « convention sur les effets accessoires du divorce », ratifiée dans le jugement de</w:t>
      </w:r>
    </w:p>
    <w:p>
      <w:r>
        <w:t>- 15 - divorce des parties. Le chiffre III de dite convention, de par la volonté des parties alors toutes deux assistées d’un avocat, est intitulé « contribution d’entretien » puis fait mention d’une pension mensuelle due par la recourante à l’intimé. Le dispositif du jugement de divorce reprend ce chiffre. aa) En se fondant sur la jurisprudence du Tribunal fédéral et notamment les limitations d’interprétation qu’elle pose au juge de la mainlevée, on doit considérer le titre invoqué par l’intimé, vu les termes clairs du dispositif, choisis par les parties alors chacune assistée d’un avocat et repris par le juge du divorce, comme un titre portant sur une contribution d’entretien. Comme le relève la recourante, si l’intimé, alors assisté, estimait qu’il ne s’agissait pas d’une contribution d’entretien, il aurait dû le faire valoir dans la procédure au fond. Il ne pouvait en revanche, de bonne foi, signer la convention le stipulant et ne pas recourir ensuite contre le jugement ratifiant dite convention. Au demeurant, selon la jurisprudence civile rendue entre les parties (TF 5A_46/2020 du 17 novembre 2020 consid. 4.2.2), cette transaction, homologuée par le juge du divorce, si elle doit être interprétée, doit l’être en se référant au sens voulu par ce magistrat. Or, en ne prenant que le jugement et les documents auxquels il renvoie, soit la convention, on ne voit pas que l’on puisse interpréter la créance invoquée par l’intimé, intitulée de par la volonté des parties « contribution d’entretien », formulation homologuée par le juge du divorce par la ratification de cette convention, autrement que comme une contribution d’entretien. Si l’on suit cette interprétation, on doit considérer que l’intimé est au bénéfice d’un titre de mainlevée définitive pour les montants, dont le caractère déterminable n’est pas contesté, des contributions qui y sont stipulées, lui permettant de requérir la mainlevée définitive de l’opposition (art. 80 al. 1 LP). Il convient donc, dans un deuxième temps, d’examiner si la recourante a prouvé par titre que la dette était éteinte (art. 81 al. 1 LP). Se pose alors la question de l’application de l’art. 130 CC.</w:t>
      </w:r>
    </w:p>
    <w:p>
      <w:r>
        <w:t>- 16 - Cette disposition prévoit que l’obligation d’entretien s’éteint au décès du débiteur ou du créancier (al. 1) ; sauf convention contraire, elle s’éteint également lors du remariage du créancier (al. 2). Conformément à l’art. 7a du titre final du CC, le divorce est régi par le nouveau droit dès l’entrée en vigueur de la loi fédérale du 26 juin 1998, soit depuis le 1er janvier 2000. L’art. 130 CC est donc pleinement applicable aux parties dont le jugement de divorce a été rendu le 15 février 2001. Il est établi par titre que l’intimé s’est remarié en 2001. Dans ces conditions, la recourante peut à raison soulever à l’encontre de la requête de mainlevée définitive qu’elle est libérée de la contribution prévue par le jugement de divorce, conformément à l’art. 130 al. 2 CC. Cette disposition réserve une éventuelle convention contraire. L’existence d’une telle convention, dont la validité n’est certes pas soumise au respect d’une forme, doit également être prouvée par titre - à l’instar du titre (art. 80 al. 1 LP) ou de l’objection (art. 81 al. 1 LP) - et non par simple recoupement ou déduite du comportement des parties. Une telle convention contraire n’est pas ici établie. De la sorte, l’art. 130 al. 2 CC doit s’appliquer et la recourante être libérée, au sens de l’art. 81 al. 1 LP, du paiement de la contribution d’entretien prévue par le jugement de divorce. Cela conduit au rejet de la requête de mainlevée définitive. bb) Au demeurant, on pourrait également considérer que malgré le qualificatif de « contribution d’entretien » choisi par les parties, alors chacune assistée d’un avocat, ratifié par le juge du divorce et repris dans le dispositif du jugement attaqué, la nature juridique du montant dû par la recourante - contribution d’entretien ou autre - n’est pas claire et le sens du dispositif douteux (dans ce sens d’ailleurs : CPF 9 septembre 2019/157consid. II d). Dès lors que ce doute ne peut être levé à l'examen des motifs du jugement de divorce - qui ne disent rien - la mainlevée doit être refusée (ATF 144 III 193 consid. 2.4.1 ; 143 III 564 consid. 4.3.2 ; 136 III 624 consid. 4.2.3 ; 135 III 315 consid. 2.3 ; 134 III 656 consid. 5.3.2 et les arrêts cités ; TF 5D_81/2012 du 12 septembre 2012 consid. 3.1 ; 5A_487/2011 du 2 septembre 2011 consid. 3.1 et les références). Le fait</w:t>
      </w:r>
    </w:p>
    <w:p>
      <w:r>
        <w:t>- 17 - que le juge peut aussi prendre en considération aux fins de dissiper le doute d'autres documents, dans la mesure où le jugement y renvoie (ATF 143 III 564 consid. 5.4.2 ; 135 III 315 consid. 2.3 ; TF 5D_171/2016 consid.</w:t>
      </w:r>
    </w:p>
    <w:p>
      <w:r>
        <w:rPr>
          <w:b/>
        </w:rPr>
        <w:t>E. 5</w:t>
      </w:r>
    </w:p>
    <w:p>
      <w:r>
        <w:t>précité ; 5A_217/2012 du 9 juillet 2012 consid. 6.1.1) n’est ici d’aucun secours dès lors que le jugement ne renvoie pas à des documents permettant de dissiper clairement l’éventuel doute s’agissant de la qualification à donner à la contribution. Au surplus, il n’appartient pas au juge de la mainlevée de procéder à l’interprétation du titre en se fondant sur des éléments étrangers à celui-ci, notamment le comportement postérieur des parties. Le fait que les versements mensuels effectués par la gérance de l’immeuble à l’intimé n’ont prétendument pas été interrompus après le remariage de celui-ci ne démontre pas que la recourante était consciente de la situation ; et même si elle l’était, cela ne devrait pas, sans autre élément recevable, être interprété comme la preuve suffisante qu’il ne s’agissait pas d’une contribution d’entretien au sens du droit du divorce. On relève au demeurant que l’intimé a par le passé indiqué à plusieurs reprises, même après son remariage, qu’il s’agissait d’une « contribution d’entretien ». Par la suite, il a allégué en procédure que tel n’était pas le cas, que la recourante ne lui avait « jamais versé un centime » et que « la régie était sa véritable débitrice ». En avril 2018, il a de plus déposé une requête d’interprétation du jugement de divorce, reconnaissant ainsi que la convention et le jugement qui la ratifie ne sont pas clairs, alors que dans la présente cause, il soutient que ces actes le sont suffisamment pour valoir titres de mainlevée d’opposition. La recourante a de son côté également soutenu une thèse puis une autre sur la nature de la créance litigieuse. Ainsi, vu la jurisprudence claire et constante du Tribunal fédéral, si l’on ne retient pas l’interprétation résultant des termes claires de la convention, voulue par les parties et leurs avocats, et du jugement de divorce et qu’on considère que la qualification à donner à la « contribution d’entretien » prévue par le jugement de divorce est</w:t>
      </w:r>
    </w:p>
    <w:p>
      <w:r>
        <w:t>- 18 - douteuse, cela conduit également à rejeter la requête de mainlevée définitive. d) La réponse au recours ne permet pas modifier cette appréciation. aa) L’intimé conclut à la non-entrée en matière sur le recours et à la condamnation de la recourante à une amende pour témérité. Selon lui, la recourante commet un abus de droit en recourant pour la quatrième fois devant la cour de céans, après avoir perdu les deux premiers recours et retiré le troisième, sans apporter le moindre élément nouveau et en soumettant systématiquement les mêmes questions à la cour, auxquelles celle-ci a déjà répondu ; subsidiairement, il conclut à l’irrecevabilité du recours « pour cause d’autorité (relative) de chose jugée sur les griefs de la recourante dans le cadre de requêtes successives en exécution forcée de prestations périodiques ». Le Tribunal fédéral a eu l’occasion de préciser que le créancier ayant plusieurs créances contre un même débiteur peut requérir une seule poursuite pour toutes ses prétentions, autant que celles-ci n’exigent pas des modes de poursuite différents (ATF 141 III 173 consid. 2.2.1 et les références citées ; TF 5A_826/2014 précité consid. 2). Il découle de cette jurisprudence que le créancier de prestations périodiques par exemple, telles que des contributions d’entretien ou des loyers, peut, mais ne doit pas, regrouper toutes ses créances contre un même débiteur dans une seule poursuite. Il est ainsi libre de poursuivre au contraire son débiteur séparément pour chacune des créances qu’il détient contre lui et ne commet aucun abus de droit en agissant de la sorte. Le pendant de cette liberté du créancier est la faculté du poursuivi de s’opposer systématiquement aux poursuites multiples, successives ou simultanées, exercées contre lui, et cela même sans motif (art. 75 al. 1 LP). Pour faire lever les oppositions à ses différentes poursuites, le cas échéant, le créancier peut de même déposer une seule requête ou au contraire des requêtes séparées ; en cas de requêtes séparées, le débiteur peut soulever contre chacune d’elles des moyens identiques ou différents,</w:t>
      </w:r>
    </w:p>
    <w:p>
      <w:r>
        <w:t>- 19 - moyens qu’il est ensuite également en droit de faire valoir en procédure de recours, le cas échéant, même à réitérées reprises. Le prononcé de mainlevée ne sortit que des effets de droit des poursuites (ATF 143 III 564 consid. 4.1) et, faudrait-il encore préciser, que sur la ou les poursuites concernée(s) par ledit prononcé. De même qu’il ne fonde pas l'exception de chose jugée quant à l'existence de la créance (ibidem), le prononcé de mainlevée ne fonde pas l’exception de chose jugée quant à l’existence d’un titre de mainlevée. Si tel était le cas, lorsque le titre invoqué pour l'exécution est jugé inexistant ou vicié, le poursuivant ne pourrait pas requérir à nouveau la mainlevée définitive dans une nouvelle poursuite, voire dans la même poursuite, en produisant le titre ou en le produisant à nouveau après disparition du vice qui l’entachait. Or, il le peut (ibid.). Il s’ensuit que la recourante est fondée à s’opposer à autant de requêtes de mainlevée d’opposition que l’intimé peut déposer à son encontre. Les griefs de ce dernier tirés de prétendus abus de droit et témérité de la part de la recourante sont infondés. bb) L’intimé invoque de nombreux faits qui résulteraient du jugement de divorce, pp. 17 à 21 (réponse, p. 9). Il lui appartenait de démontrer l’arbitraire de l’omission de ces faits (art. 320 et 321 al. 1 CPC), ce qu’il ne tente même pas de faire. Son grief est sur ce point irrecevable. Au demeurant les faits allégués ne ressortent pas tous des pages indiquées dudit jugement, en particulier que les parties auraient conclu une convention de fiducie portant sur un immeuble et que pendant la procédure de divorce l’intimé aurait contribué à l’entretien de la recourante au moyen des revenus locatifs de l’immeuble. Il ressort au contraire de ces pages que les revenus de l’intimé étaient composés notamment de 35,33% des revenus de l’immeuble, « correspondant à la contribution mensuelle qui lui sera versée » par la recourante selon les termes du chiffre III de la convention sur les effets accessoires du divorce. Cela corrobore le sens donné au dispositif (cf. supra consid. II c aa). La question du sort de l’immeuble, les montages préalables et les procédures suivantes démontrent au plus que rien n’est clair dans cette cause, de par notamment la volonté de l’intimé qui a à tout le moins corédigé la</w:t>
      </w:r>
    </w:p>
    <w:p>
      <w:r>
        <w:t>- 20 - convention sur les effets accessoires de divorce. Dans ces conditions, sa requête de mainlevée définitive fondée sur une situation aussi confuse, où tout devrait être interprété et pourrait l’être dans un sens comme un autre, devait de toute façon être rejetée, conformément à la jurisprudence. L’intimé relève que le premier juge a considéré avec raison « que les parties sont en litige et des procédures sont actuellement pendant devant les tribunaux sur la question du chiffre III de la convention… constitue une contribution d’entretien » et « que quoiqu’il en soit, il n’appartient pas au juge de la mainlevée de se prononcer sur cette question mais plutôt au juge du fond d’ores et déjà saisie » (réponse, p. 11). Cela finit de convaincre que ce n’est pas au juge de la mainlevée de démêler les nœuds faits par les parties, mais au juge du fond. e) Vu l’admission du grief tiré de la violation de l’art. 80 LP, il n’est pas nécessaire d’examiner les autres moyens soulevés par la recourante. IV. En conclusion, le recours doit être admis et le prononcé réformé en ce sens que les oppositions formées par la recourante aux commandements de payer en cause sont maintenues. Les frais judiciaires de première instance, arrêtés à 660 fr., sont mis à la charge du poursuivant et intimé (art. 106 al. 1 CPC), qui les a avancés. Celui-ci doit verser à la poursuivie et recourante la somme de 3'000 fr. (art. 6 TDC [tarif des dépens en matière civile ; BLV 270.11.6]) à titre de dépens de première instance. Les frais judiciaires de deuxième instance, arrêtés à 990 fr. (art. 61 al. 1 OELP [ordonnance sur les émoluments perçus en application de la LP ; RS 281.35]) sont mis à la charge de l’intimé (art. 106 al. 1 CPC) ; celui-ci doit par conséquent rembourser à la recourante son avance de frais du même montant et lui verser en outre des dépens de deuxième instance (art. 111 al. 2 CPC), fixés à 3'000 fr. (art. 8 TDC).</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