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KC19.054834 vom 9. September 2020</w:t>
      </w:r>
    </w:p>
    <w:p>
      <w:r>
        <w:t>VD Tribunal cantonal, 2020-09-09, FR</w:t>
      </w:r>
    </w:p>
    <w:p>
      <w:r>
        <w:rPr>
          <w:b/>
        </w:rPr>
        <w:t xml:space="preserve">Quelle: </w:t>
      </w:r>
      <w:r>
        <w:t>https://mcp.opencaselaw.ch/entscheid/vd_gerichte_KC19.054834</w:t>
      </w:r>
    </w:p>
    <w:p>
      <w:r>
        <w:t>FR: VD_GERICHTE KC19.054834 du 9 septembre 2020</w:t>
      </w:r>
    </w:p>
    <w:p>
      <w:r>
        <w:t>IT: VD_GERICHTE KC19.054834 del 9 settembre 2020</w:t>
      </w:r>
    </w:p>
    <w:p>
      <w:pPr>
        <w:pStyle w:val="Heading2"/>
      </w:pPr>
      <w:r>
        <w:t>Erwägungen</w:t>
      </w:r>
    </w:p>
    <w:p>
      <w:r>
        <w:rPr>
          <w:b/>
        </w:rPr>
        <w:t>E. 1</w:t>
      </w:r>
    </w:p>
    <w:p>
      <w:r>
        <w:t>et 2 CPC [Code de procédure civile du 19 décembre 2008, RS 272]), le recours est recevable. II. 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Constitue une reconnaissance de dette notamment l'acte signé par le poursuivi d'où ressort sa volonté de payer au poursuivant une somme d'argent déterminée – ou aisément déterminable – et exigible, sans réserve ni condition (ATF 139 III 297 consid. 2.3.1 ; ATF 136 III 624 consid. 4.2.2 ; ATF 136 III 627 consid. 2 et la jurisprudence citée ; Veuillet, in Abbet/Veuillet (éd.), La mainlevée de l’opposition, n. 32 ad art. 82 et les références citées ; Panchaud/Caprez, La mainlevée d'opposition, § 1 ; Gilliéron, Commentaire de la loi fédérale sur la poursuite pour dettes et la faillite, n. 29 ad art. 82 LP). En principe, la proposition d'assurance acceptée par l'assureur vaut reconnaissance de dette dans la poursuite en paiement des primes échues (Panchaud/Caprez, op. cit., § 94). Il faut toutefois que l'assureur ait accepté cette proposition dans les quatorze jours à compter de celui où elle lui a été envoyée ou remise, l'acceptation, qui n'est soumise à aucune forme spéciale, devant parvenir au proposant avant l'expiration de ce délai (ibid., § 95). Une proposition d'assurance signée par le poursuivi ne vaut ainsi titre de mainlevée provisoire pour le paiement d'une prime que si le poursuivant établit par pièces avoir fait parvenir son acceptation au proposant dans le délai précité. A ce défaut, le poursuivant peut établir d'une autre façon que le contrat d'assurance a été conclu, explicitement</w:t>
      </w:r>
    </w:p>
    <w:p>
      <w:r>
        <w:t>- 6 - ou tacitement, par exemple en produisant une police d'assurance conclue postérieurement à l'échéance du délai de quatorze jours mais signée par le poursuivi, ou en établissant par pièces probantes le paiement effectif d'une prime antérieure dans la même police (CPF 28 décembre 2018/329 ; CPF 20 juin 2016/201 ; CPF 15 février 2016/54 ; CPF 5 mai 2006/159 ; CPF 13 juin 2002/233 et les références citées). L'octroi de la mainlevée ne dépend pas, en principe, d'une mise en demeure préalable, l'assureur qui veut obtenir le paiement de la prime échue n'étant pas tenu d'adresser à l'assuré la sommation prévue par l'art. 20 LCA (loi fédérale du 2 avril 1908 sur le contrat d’assurance ; RS 221.229.1). Ce dernier peut se borner à le poursuivre, sans provoquer la mise en demeure et la suspension du contrat d'assurance au cas où la prime ne serait pas payée dans les quatorze jours suivant la sommation. Toutefois, si l'assureur prétend avoir adressé la sommation de l'art. 20 LCA, il ne pourra obtenir la mainlevée que si la poursuite est exercée dans le délai de deux mois de l'art. 21 al. 1 LCA (Panchaud/Caprez, op. cit. § 96 ; Staehelin, op. cit., n. 145 ad art. 82 LP). Dans ces circonstances, il doit établir par pièce l'envoi et le contenu de la sommation qu'il invoque (CPF 28 décembre 2018/329 précité ; CPF, 30 décembre 2014/420 ; CPF 15 octobre 2010/400 ; CPF 9 juin 2005/191 ; de Mestral, La prime et son paiement, Etude de droit suisse, thèse 2000, p. 120). Selon l'art. 21 al. 1 LCA, l'assureur qui n'a pas poursuivi le paiement de la prime en souffrance dans les deux mois après l'expiration du délai fixé par l'art. 20 LCA, est censé s'être départi du contrat et avoir renoncé au paiement de la prime arriérée. b) En l’espèce, il n’est pas contestable, ni contesté, en particulier au vu de la lettre de résiliation de S.________, qu’un contrat d’assurance a été conclu entre les parties. Ce contrat a pris effet au 14 mars 2016 et a été conclu pour une durée de cinq ans. Contrairement à ce que prétend la recourante, cette durée ne figure pas seulement sur la police d’assurance du 16 mars 2016, mais également sur la proposition d’assurance qu’elle a signée le 14 mars 2016. Le contrat a donc bien été conclu pour cinq ans, pour la période du 14 mars 2016 au 28 février 2021 ;</w:t>
      </w:r>
    </w:p>
    <w:p>
      <w:r>
        <w:t>- 7 - il devait ensuite se renouveler tacitement d’année en année, sauf résiliation par écrit au minimum trente jours avant l'échéance contractuelle, conformément à l’art. 12 des conditions générales de l’intimée. Il s’ensuit qu’une résiliation du contrat ne saurait avoir d’effet avant le 28 février 2021. L’intimée, qui a choisi d’adresser à S.________ une sommation au sens de l’art. 20 LCA le 10 mai 2019 – et qui disposait dès lors d’un délai de deux mois après l'expiration du délai de sommation de quatorze jours pour poursuivre l’assurée (art. 21 al. 1 LCA) – a par ailleurs exercé la poursuite à temps (le commandement de payer a été notifié le 10 juillet 2019), de sorte que l’obligation de payer la prime demeure. Dans ces conditions, le contrat conclu entre les parties constitue bien une reconnaissance de dette valant titre de mainlevée provisoire pour la prime d’assurance de la période du 1er mars 2019 au 29 février 2020, par 337 fr. 50, réclamée en poursuite. On peut préciser que même si le contrat n’avait pas été conclu pour une période initiale de cinq ans et était susceptible d’être résilié chaque année moyennant le respect du délai de trente jours, comme le soutient la recourante, on aurait dû constater que S.________ n’a pas établi, même au stade de la vraisemblance, que sa lettre du 28 novembre 2018 (que l’intimée n’aurait reçu que le 3 juin 2019 selon le timbre humide y figurant) est parvenue à l’assureur au plus tard trente jours avant le 28 février 2019, condition nécessaire pour que la résiliation soit valablement intervenue audit 28 février 2019, la résiliation du contrat d'assurance par l'assuré étant un acte soumis à réception (ATF 126 V 482 consid. 2d ; TFA K 148/05 du 25 août 2006 consid. 4.2 ; TFA K 105/02 du 28 février 2003 consid. 4.1 et les références citées). III. En conclusion, le recours, manifestement mal fondé, doit être rejeté et le prononcé confirmé.</w:t>
      </w:r>
    </w:p>
    <w:p>
      <w:r>
        <w:t>- 8 - Vu le rejet du recours, les frais judiciaires de deuxième instance, arrêtés à 135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