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KC19.054464 vom 30. Juli 2020</w:t>
      </w:r>
    </w:p>
    <w:p>
      <w:r>
        <w:t>VD Tribunal cantonal, 2020-07-30, FR</w:t>
      </w:r>
    </w:p>
    <w:p>
      <w:r>
        <w:rPr>
          <w:b/>
        </w:rPr>
        <w:t xml:space="preserve">Quelle: </w:t>
      </w:r>
      <w:r>
        <w:t>https://mcp.opencaselaw.ch/entscheid/vd_gerichte_KC19.054464</w:t>
      </w:r>
    </w:p>
    <w:p>
      <w:r>
        <w:t>FR: VD_GERICHTE KC19.054464 du 30 juillet 2020</w:t>
      </w:r>
    </w:p>
    <w:p>
      <w:r>
        <w:t>IT: VD_GERICHTE KC19.054464 del 30 luglio 2020</w:t>
      </w:r>
    </w:p>
    <w:p>
      <w:pPr>
        <w:pStyle w:val="Heading2"/>
      </w:pPr>
      <w:r>
        <w:t>Erwägungen</w:t>
      </w:r>
    </w:p>
    <w:p>
      <w:r>
        <w:rPr>
          <w:b/>
        </w:rPr>
        <w:t>E. 19</w:t>
      </w:r>
    </w:p>
    <w:p>
      <w:r>
        <w:t>mars 2019, l’intimée a admis l’exigibilité du remboursement des sommes mentionnées et qu’au surplus, elle n’aurait jamais écrit un tel courriel si la première des conditions de révocation de la convention de postposition n’était pas réalisée, soit que la société H.________SA n’était plus en situation de surendettement. Elle soutient également que l’intimée aurait tacitement accepté la révocation de la convention de postposition en s’engageant à rembourser lesdits montants dans son courriel, qui répondait à ses courriers du 21 juin 2018. b) Selon l'art. 82 al. 1 LP (loi fédérale du 11 avril 1889 sur la poursuite pour dettes et la faillite ; RS 281.1), le créancier dont la poursuite se fonde sur une reconnaissance de dette constatée par acte authentique ou sous seing privé peut requérir la mainlevée provisoire de l'opposition au commandement de payer. Constitue une reconnaissance de dette l'acte sous seing privé signé par le poursuivi, d'où ressort sa volonté de payer au poursuivant, sans réserve ni condition, une somme</w:t>
      </w:r>
    </w:p>
    <w:p>
      <w:r>
        <w:t>- 7 - d'argent déterminée, ou aisément déterminable, et exigible (ATF 145 III 20 consid. 4.1.1 ; ATF 139 III 297 consid. 2.3.1 ; ATF 136 III 627 consid. 2 ; ATF 136 III 624 consid. 4.2.2 ; TF 5A_435/2015 du 13 octobre 2015 consid. 3.2.1.1).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(art. 82 al. 2 LP ; ATF 142 III 720 consid. 4.1 ; ATF 132 III 140 consid. 4.1.1, rés. in JdT 2006 II 187; art. 82 al. 2 LP). c) La première juge a retenu que la recourante disposait d’un titre de mainlevée pour la somme de 520'000 francs, en ce qu’elle a notamment produit deux contrats de prêts. Ce fait n’est pas contesté par les parties. Elle a toutefois constaté ensuite que les créances de 300'000 fr. et 220'000 fr. n’étaient pas exigibles, au motif que les parties avaient passé une convention de postposition des créances. La recourante produit un courriel du 19 mars 2019, dont elle déduit que ladite convention aurait été révoquée, ce dont la première juge n’aurait, à tort, pas tenu compte. Il ressort du courriel du 19 mars 2019 que l’intimée s’est engagée à verser un montant de 300'000 fr. en date du 26 avril 2019 et un montant de 220'000 fr. le 24 mai 2019. Le courriel ne comporte toutefois pas de signature électronique qualifiée, de sorte qu’il ne peut être considéré comme une reconnaissance de dette valant titre de mainlevée provisoire en soi. Il s’agit uniquement de déterminer si ce courriel établit que l’une des conditions de la révocation de la convention de postposition est remplie.</w:t>
      </w:r>
    </w:p>
    <w:p>
      <w:r>
        <w:t>- 8 - On ne saurait déduire, comme le voudrait la recourante, de la lecture du courriel du 19 mars 2019, que la première condition de révocation de ladite convention de postposition est réalisée, à savoir que la société H.________SA ne serait plus surendettée. En effet, la seule promesse, par l’intimée, du versement d’acomptes – acomptes dont elle ne s’est par ailleurs manifestement pas acquittée – ne suffit pas à rendre ce fait vraisemblable. Elle aurait pu agir dans ce sens pour toutes sortes d’autres motifs, de sorte que la déduction que la recourante tente de faire est insoutenable. Au surplus, cette dernière ne produit aucun document qui permettrait d’attester les faits allégués, tel qu’un extrait du bilan ou des comptes de ladite société. Pour le surplus, la recourante ne prétend pas qu’une autre condition de la révocation de la convention de postposition serait remplie. Il s’ensuit que la recourante n’est pas parvenue à établir que la convention de postposition a été révoquée, de sorte que les créances déduites en poursuite ne sont pas exigibles. La première juge a, à juste titre, rejeté la requête de mainlevée provisoire de l’opposition. IV. Vu ce qui précède, le recours, manifestement mal fondé, doit être rejeté selon le mode procédural de l’art. 322 CPC et le prononcé attaqué confirmé. Les frais de deuxième instance, arrêtés à 1’485 fr., sont mis à la charge de la recourante qui succombe (art. 106 al. 1 CPC) et qui en a déjà fait l’avance.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