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KC19.054067 vom 20. August 2020</w:t>
      </w:r>
    </w:p>
    <w:p>
      <w:r>
        <w:t>VD Tribunal cantonal, 2020-08-20, FR</w:t>
      </w:r>
    </w:p>
    <w:p>
      <w:r>
        <w:rPr>
          <w:b/>
        </w:rPr>
        <w:t xml:space="preserve">Quelle: </w:t>
      </w:r>
      <w:r>
        <w:t>https://mcp.opencaselaw.ch/entscheid/vd_gerichte_KC19.054067</w:t>
      </w:r>
    </w:p>
    <w:p>
      <w:r>
        <w:t>FR: VD_GERICHTE KC19.054067 du 20 août 2020</w:t>
      </w:r>
    </w:p>
    <w:p>
      <w:r>
        <w:t>IT: VD_GERICHTE KC19.054067 del 20 agosto 2020</w:t>
      </w:r>
    </w:p>
    <w:p>
      <w:pPr>
        <w:pStyle w:val="Heading2"/>
      </w:pPr>
      <w:r>
        <w:t>Volltext</w:t>
      </w:r>
    </w:p>
    <w:p>
      <w:r>
        <w:t>TRIBUNAL CANTONAL KC19.054067-200928 232 CO UR DE S P OURSUITES ET FAILL ITES ________________________________________________ Arrêt du 20 août 2020 __________________ Composition :M. MAILLARD, président M. Hack et Mme Rouleau, juges Greffier : Mme Debétaz Ponnaz ***** Art. 321 al. 2 CPC Vu la poursuite n° 9’213'381 de l’Office des poursuites du district du Jura-Nord vaudois exercée contre U.________, à [...], à l’instance de l’ETAT DU VALAIS, représenté par l’Office cantonal du contentieux financier, à Sion, en paiement de 3'822 fr. 65, plus intérêt à 5% l’an dès le 13 juin 2019, et de 60 francs et 820 fr. 80, sans intérêt, et l’opposition totale formée par le poursuivi le 26 juin 2019, vu la décision rendue le 23 janvier 2020 par le Juge de paix des districts du Jura-Nord vaudois et du Gros-de-Vaud, prononçant la mainlevée définitive de l’opposition, arrêtant à 150 fr. les frais judiciaires, compensés avec l’avance de frais du poursuivant, les mettant à la charge 111</w:t>
      </w:r>
    </w:p>
    <w:p>
      <w:r>
        <w:t>- 2 - du poursuivi et disant que celui-ci rembourserait au poursuivant son avance de frais à concurrence de 150 fr., sans allocation de dépens pour le surplus, vu la demande de motivation de ce prononcé formulée par le poursuivi par lettre du 27 janvier 2020, vu le prononcé motivé adressé aux parties le 11 juin 2020 et notifié au poursuivi le 12 juin 2020, selon le suivi d’acheminement de l’envoi au dossier, vu le recours déposé le 25 juin 2020 par le poursuivi, concluant en substance à la réforme du prononcé attaqué en ce sens que son opposition à la poursuite en cause est maintenue, et les frais et dépens mis à la charge du poursuivant, vu l’avis du président de la cour de céans du 7 juillet 2020, constatant que le recours paraissait à première vue tardif, l’échéance du délai de recours étant tombée le 22 juin 2020, et impartissant au recourant un délai de dix jours pour fournir toutes explications utiles sur les raisons pour lesquelles il n’aurait pas respecté le délai légal de recours, sous peine d’irrecevabilité, vu la lettre du recourant du 10 juillet 2020, invoquant son ignorance du fait que le délai de recours de dix jours ne comptait pas uniquement les jours ouvrables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w:t>
      </w:r>
    </w:p>
    <w:p>
      <w:r>
        <w:t>- 3 - que ce délai court effectivement dès le lendemain de la notification de la décision attaquée (art. 142 al. 1 CPC), que les samedis, dimanches et jours fériés sont comptés dans le délai, dont seule la fin est reportée, le cas échéant, si le dernier jour est un samedi, un dimanche ou un jour férié, au premier jour ouvrable qui suit (art. 142 al. 3 CPC), que le délai de recours est observé si l’acte de recours est remis au plus tard le dernier jour du délai soit au tribunal directement, soit à l’attention de ce dernier, à la poste suisse (art. 143 al. 1 CPC), qu’en l’espèce, le délai dont disposait U.________ pour recourir contre le prononcé motivé qui lui avait été notifié le vendredi 12 juin 2020 arrivait à échéance le lundi 22 juin 2020, les samedis et dimanches 13, 14, 20 et 21 juin devant être comptés dans le délai de dix jours, que le recours posté le 25 juin 2020 a ainsi été déposé tardivement, que l’ignorance des règles légales sur la computation des délais ne saurait constituer une absence de faute ou une faute seulement légère pouvant justifier une restitution de délai, qui, au demeurant, n’est pas requise en l’espèce ; attendu que le recours doit par conséquent être déclaré irrecevable, que le présent arrêt peut être rendu sans frais. Par ces motifs,</w:t>
      </w:r>
    </w:p>
    <w:p>
      <w:r>
        <w:t>- 4 -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U.________, - Etat du Valais, Office cantonal du contentieux financier. La Cour des poursuites et faillites considère que la valeur litigieuse est de 4’703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 Cet arrêt est communiqué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