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KC19.053064 vom 1. April 2021</w:t>
      </w:r>
    </w:p>
    <w:p>
      <w:r>
        <w:t>VD Tribunal cantonal, 2021-04-01, FR</w:t>
      </w:r>
    </w:p>
    <w:p>
      <w:r>
        <w:rPr>
          <w:b/>
        </w:rPr>
        <w:t xml:space="preserve">Quelle: </w:t>
      </w:r>
      <w:r>
        <w:t>https://mcp.opencaselaw.ch/entscheid/vd_gerichte_KC19.053064</w:t>
      </w:r>
    </w:p>
    <w:p>
      <w:r>
        <w:t>FR: VD_GERICHTE KC19.053064 du 1 avril 2021</w:t>
      </w:r>
    </w:p>
    <w:p>
      <w:r>
        <w:t>IT: VD_GERICHTE KC19.053064 del 1 aprile 2021</w:t>
      </w:r>
    </w:p>
    <w:p>
      <w:pPr>
        <w:pStyle w:val="Heading2"/>
      </w:pPr>
      <w:r>
        <w:t>Erwägungen</w:t>
      </w:r>
    </w:p>
    <w:p>
      <w:r>
        <w:rPr>
          <w:b/>
        </w:rPr>
        <w:t>E. 24</w:t>
      </w:r>
    </w:p>
    <w:p>
      <w:r>
        <w:t>CO UR DE S P OURSUITES ET FAILL ITES ________________________________________________ Arrêt du 1er avril 2021 __________________ Composition :M. HACK, président Mme Rouleau et M. Maillard, juges Greffier : Mme Joye ***** Art. 29 al. 2 Cst. ; 136 et 138 CPC La Cour des poursuites et faillites du Tribunal cantonal, statuant à huis clos en sa qualité d'autorité de recours en matière sommaire de poursuites, s'occupe du recours exercé par M.________, à Bussigny, contre le prononcé rendu le 7 avril 2020 par la Juge de paix du district de l’Ouest lausannois, dans la cause opposant le recourant à B.________, à Lisle sur Tarn (France). Vu les pièces au dossier, la cour considère : 109</w:t>
      </w:r>
    </w:p>
    <w:p>
      <w:r>
        <w:t>- 2 - En fait : 1. Le 8 avril 2019, à la réquisition d’B.________, l’Office des poursuites du district de l’Ouest lausannois a notifié à M.________, dans la poursuite n° 9'115’166, un commandement de payer les sommes de 1) 16'191 fr. 02 avec intérêt à 5 % l’an dès le 22 janvier 2019 et de 2) 862 fr. 72 sans intérêt, indiquant comme titre de la créance ou cause de l’obligation : « 1) Relevé d’huissier du 21 janvier 2019 et mise en demeure de [...] du 31 janvier 2019. La somme de CHF 16'191.02 est la contre- valeur de Euro 14'075.48. La somme de CHF 862.72 est la contre-valeur de Euro 750.00. Cours de l’Euro le 4 mars 2019 : 1 Euro = CHF 1.1503. 2) Frais du recouvrement. ». Le poursuivi a formé opposition totale. 2. a) Par acte du 20 novembre 2019, le poursuivant a requis du Juge de paix du district de l’Ouest lausannois qu’il prononce la mainlevée définitive, subsidiairement la mainlevée provisoire, de l’opposition à concurrence de 16'191 francs 02 avec intérêt à 5 % l’an dès le 21 janvier 2019 sur le capital de 13'327 fr. 51. b) Par courrier recommandé du 24 décembre 2019, la juge de paix a adressé la requête au poursuivi et lui a imparti un délai au 20 janvier 2020 pour se déterminer et déposer toute pièce utile. Le pli contenant ce courrier a été retourné par la poste au greffe de la justice de paix avec la mention « non réclamé ». 3. Par prononcé non motivé rendu le 7 avril 2020, adressé aux parties le 27 mai 2020, notifié au poursuivi le 2 juin 2020, la Juge de paix du district de l’Ouest lausannois a prononcé la mainlevée définitive de l’opposition à concurrence de 16'191 fr. 02 avec intérêt à 5 % l’an dès le 21 janvier 2019 sur le capital de 13'327 francs 51 (I), a arrêté les frais</w:t>
      </w:r>
    </w:p>
    <w:p>
      <w:r>
        <w:t>- 3 - judiciaires à 360 fr. (II), les a mis à la charge du poursuivi (III) et dit que ce dernier devait rembourser au poursuivant son avance de frais, par 360 francs, et lui verser en outre la somme de 1'500 fr. à titre de dépens (IV). Les motifs du prononcé ont été adressés aux parties le 3 novembre 2020 et notifiés au poursuivi le 10 novembre 2020. 4. Par acte du 16 novembre 2020, le poursuivi a recouru contre ce prononcé, concluant implicitement au rejet de la requête de mainlevée. Par courrier recommandé du 24 novembre 2020, la juge de paix a écrit aux parties qu’elle constatait que le pli contenant la requête de mainlevée destiné au poursuivi ayant été retourné par la poste au greffe de la justice de paix avec la mention « non réclamé », le prononcé du 7 avril 2020 devait, au regard de la jurispru-dence constante de la Cour des poursuites et faillites du Tribunal cantonal, être annulé et la procédure reprise depuis le début ; elle a indiqué qu’à défaut d’opposi-tion des parties d’ici au 14 décembre 2020, elle considérerait qu’elles adhéraient à ce qui précède et la requête de mainlevée du 20 novembre 2020 serait à nouveau notifiée au poursuivi. L’exemplaire destiné au poursuivant est revenu au greffe avec la mention « introuvable à l’adresse indiquée ». Le courrier a été réexpédié à la nouvelle adresse du poursuivant le 8 décembre 2020, avec un délai pour s’opposer au 18 décembre 2020. Par courrier du 9 décembre 2020, le poursuivant s’est opposé à l’annulation du prononcé de mainlevée et à la reprise de la procédure de mainlevée. Le 10 décembre 2020, le dossier a été transmis à la cour de céans comme objet de sa compétence.</w:t>
      </w:r>
    </w:p>
    <w:p>
      <w:r>
        <w:t>- 4 - Par avis du 27 janvier 2021, un délai de dix jours a été imparti à l’intimé pour se déterminer sur le recours. B.________ a déposé des déterminations le 1er février 2021, concluant principalement au rejet du recours et subsidiairement au renvoi de la cause au premier juge. Le 12 février 2021, le recourant a requis l’effet suspensif. Par décision du même jour, le Président de la cour de céans a fait droit à cette requête. En d roit : I. Déposé en temps utile et dans les formes requises (321 al. 1 et 2 CPC [Code de procédure civile du 19 décembre 2008 ; RS 272]), le recours est recevable. Les déterminations de l’intimé sont également recevables (art. 322 al. 2 CPC). II. a) La procédure de mainlevée est régie par la procédure sommaire des art. 248 ss CPC (art. 251 let. a CPC; Staehelin, in Staehelin/Bauer/Staehelin (éd.), Basler Kommentar, SchKG I, 2e éd., n. 2a ad art. 84 SchKG).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w:t>
      </w:r>
    </w:p>
    <w:p>
      <w:r>
        <w:rPr>
          <w:b/>
        </w:rPr>
        <w:t>E. 29</w:t>
      </w:r>
    </w:p>
    <w:p>
      <w:r>
        <w:t>al. 2 Cst. (Constitution fédérale du 18 avril 1999 ; RS 101) et 6 § 1 CEDH (Convention du 4 novembre 1950 de sauvegarde des droits de l’homme et des libertés fondamentales ; RS 0.101) (Haldy, in Bohnet et al.</w:t>
      </w:r>
    </w:p>
    <w:p>
      <w:r>
        <w:t>- 5 - [éd.], Commentaire romand, Code de procédure civile, 2e éd., nn. 1 à 5 ad art. 53 CPC; Bohnet, in Commentaire romand, Code de procédure civile, précité, n. 2 ad art. 253 CPC; Chevallier, in Sutter- Somm/Hasenböhler/Leuenberger, Kommentar zur Schweizerischen Zivilprozessordnung, 3e éd.,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ATF 130 III 396, JdT 2005 II 87; TF 5A_552/2011 du 10 octobre 2011 consid. 2.1; TF 5D_130/2011 du 22 septembre 2011 consid. 2.1; TF 5A_710/2011 du 28 janvier 2011 consid. 3.1; TF 5A_172/2009 publié in BISchK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w:t>
      </w:r>
    </w:p>
    <w:p>
      <w:r>
        <w:rPr>
          <w:b/>
        </w:rPr>
        <w:t>E. 31</w:t>
      </w:r>
    </w:p>
    <w:p>
      <w:r>
        <w:t>ad art. 138 CPC). Cela a été rappelé dans de nombreux arrêts (notamment : JdT 2017 III 174 ; CPF 9 octobre 2020/277 ; CPF 20 septembre 2019/210 ; CPF 12 juin 2018/ 102 ; CPF 30 mars 2015/112 ; CPF</w:t>
      </w:r>
    </w:p>
    <w:p>
      <w:r>
        <w:t>- 6 - 21 novembre 2014/391 ; CPF, 11 septembre 2013/356; CPF, 8 août 2013/312; CPF, 11 juillet 2012/270). Selon la jurisprudence de la cour de céans, un jugement de mainlevée est nul quand le poursuivi n’a pas reçu la requête de mainlevée, ce que la cour de céans doit examiner d’office, même si le moyen n’a pas été soulevé en recours (CPF 15 avril 2019/69 ; CPF 28 décembre 2018/338 ; CPF 1er novembre 2016/343 ; JdT 2017 III 174). b) En l'espèce, le pli recommandé contenant la requête de mainlevée adressé au poursuivi est revenu au greffe de la justice de paix avec la mention "non réclamé". Conformément à la jurisprudence susmentionnée, la fiction de la notifica-tion à l'échéance du délai de garde postal ne s'applique pas dans ces circonstances. Il s'ensuit que la requête de mainlevée n'a pas été valablement notifiée au poursuivi. Le prononcé rendu le 7 avril 2020 doit dès lors être annulé. III. En conclusion, le recours doit être admis, le prononcé annulé et la cause renvoyée au premier juge pour qu’il rende une nouvelle décision après avoir notifié la requête de mainlevée au poursuivi. Les frais judiciaires de deuxième instance, arrêtés à 540 fr., sont mis à la charge de l’intimé. Il n’y a pas lieu d’allouer de plus amples dépens de deuxième instance, le recourant ayant agi sans l’assistance d’un mandataire professionnel.</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