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KC19.050235 vom 15. September 2020</w:t>
      </w:r>
    </w:p>
    <w:p>
      <w:r>
        <w:t>VD Tribunal cantonal, 2020-09-15, FR</w:t>
      </w:r>
    </w:p>
    <w:p>
      <w:r>
        <w:rPr>
          <w:b/>
        </w:rPr>
        <w:t xml:space="preserve">Quelle: </w:t>
      </w:r>
      <w:r>
        <w:t>https://mcp.opencaselaw.ch/entscheid/vd_gerichte_KC19.050235</w:t>
      </w:r>
    </w:p>
    <w:p>
      <w:r>
        <w:t>FR: VD_GERICHTE KC19.050235 du 15 septembre 2020</w:t>
      </w:r>
    </w:p>
    <w:p>
      <w:r>
        <w:t>IT: VD_GERICHTE KC19.050235 del 15 settembre 2020</w:t>
      </w:r>
    </w:p>
    <w:p>
      <w:pPr>
        <w:pStyle w:val="Heading2"/>
      </w:pPr>
      <w:r>
        <w:t>Volltext</w:t>
      </w:r>
    </w:p>
    <w:p>
      <w:r>
        <w:t>TRIBUNAL CANTONAL KC19.050235-201181 259 CO UR DE S P OURSUITES ET FAILL ITES ________________________________________________ Arrêt du 15 septembre 2020 __________________ Composition :M. MAILLARD, président Mmes Byrde et Cherpillod, juges Greffière : Mme Guardia ***** Art. 321 al. 1 CPC Vu le prononcé du 28 janvier 2020, par lequel la Juge de paix du district de [...], statuant à la suite de l’interpellation de la partie poursuivie, a prononcé la mainlevée définitive de l’opposition formée par H.________, à [...], dans la poursuite n° 9'273'255 de l’Office des poursuites du même district exercée contre elle à l’instance de L.________ SA, à [...], a arrêté à 180 fr. les frais judiciaires, compensés avec l’avance de frais de la poursuivante, les a mis à la charge de la poursuivie et a dit que celle-ci rembourserait à la poursuivante son avance de frais à concurrence de 180 fr., sans allocation de dépens pour le surplus, 111</w:t>
      </w:r>
    </w:p>
    <w:p>
      <w:r>
        <w:t>- 2 - vu la notification de ce dispositif à la poursuivie le 14 février 2020, vu la lettre datée du 18 février 2020 et déposée par porteur le 19 février 2020 auprès de la juge de paix contestant la décision et en demandant la motivation, vu les motifs du prononcé adressés aux parties le 25 mai 2020 et notifiés à la poursuivie le 28 mai 2020, vu la transmission du dossier par la juge de paix à la cour de céans, autorité de recours, le 21 août 2020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la lettre du 18 février 2020, s’il s’agit d’un recours, a été déposée dans le délai de demande de motivation soit en temps utile, qu’H.________ n’a déposé aucune écriture dans le délai de recours suivant la notification du prononcé motivé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2ème éd., n. 1 ad art. 321 CPC), qu'en particulier, selon l'art. 321 al. 1 CPC, le recours doit être motivé,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que ni l’art. 132 al. 1 et 2, ni l’art. 56 CPC ne sont applicables en cas d’absence de motivation d’un acte de recours (ibid.), que la motivation du recours, si elle n’est pas immédiate, doit à tout le moins être produite dans le délai de recours, qu’à défaut de motivation – dans le délai légal –, l’instance de recours n’entre pas en matière, qu’en l’espèce, dans sa lettre du 18 février 2020, H.________ se contente de soulever l’existence de « zones d’ombres » dans son dossier et de requérir le réexamen de sa situation, qu’ainsi, ce document ne contient aucun motif ou moyen de recours contre la décision de la juge de paix, en particulier contre les considérants topiques de cette décision selon lesquels la poursuivante est au bénéfice d’un titre à la mainlevée définitive justifiant la mainlevée de l’opposition formée par la poursuivie à la poursuite litigieuse,</w:t>
      </w:r>
    </w:p>
    <w:p>
      <w:r>
        <w:t>- 4 - que faute de motivation satisfaisant aux exigences de la loi et de la jurisprudence en la matière, le recours d’H.________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H.________, - L.________ SA.</w:t>
      </w:r>
    </w:p>
    <w:p>
      <w:r>
        <w:t>- 5 - La Cour des poursuites et faillites considère que la valeur litigieuse est de 6'653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