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KC19.039422 vom 10. August 2020</w:t>
      </w:r>
    </w:p>
    <w:p>
      <w:r>
        <w:t>VD Tribunal cantonal, 2020-08-10, FR</w:t>
      </w:r>
    </w:p>
    <w:p>
      <w:r>
        <w:rPr>
          <w:b/>
        </w:rPr>
        <w:t xml:space="preserve">Quelle: </w:t>
      </w:r>
      <w:r>
        <w:t>https://mcp.opencaselaw.ch/entscheid/vd_gerichte_KC19.039422</w:t>
      </w:r>
    </w:p>
    <w:p>
      <w:r>
        <w:t>FR: VD_GERICHTE KC19.039422 du 10 août 2020</w:t>
      </w:r>
    </w:p>
    <w:p>
      <w:r>
        <w:t>IT: VD_GERICHTE KC19.039422 del 10 agosto 2020</w:t>
      </w:r>
    </w:p>
    <w:p>
      <w:pPr>
        <w:pStyle w:val="Heading2"/>
      </w:pPr>
      <w:r>
        <w:t>Volltext</w:t>
      </w:r>
    </w:p>
    <w:p>
      <w:r>
        <w:t>TRIBUNAL CANTONAL KC19.039422-200813 204 CO UR DE S P OURSUITES ET FAILL ITES ________________________________________________ Arrêt du 10 août 2020 __________________ Composition :M. MAILLARD, président M. Hack et Mme Byrde, juges Greffier : Mme Joye ***** Art. 321 al. 1 CPC Vu la décision rendue sous forme de dispositif le 22 novembre 2019, à la suite de l’interpellation de la partie poursuivie, par la Juge de paix des districts du Jura – Nord vaudois et du Gros-de-Vaud, prononçant la mainlevée définitive de l’opposition formée par W.________, ...]Chapelle- sur-Moudon, à la poursuite n° 9'114’145 de l’Office des poursuites du district du Gros-de-Vaud, exercée contre lui à l’instance de l’ETAT DE VAUD, représenté par l’Office d’impôt du district du Gros-de-Vaud, à Echallens, arrêtant à 150 fr. les frais judiciaires, compensés avec l’avance de frais de la partie poursuivante, les mettant à la charge du poursuivi et disant qu’en conséquence, celui-ci rembourserait à la partie poursuivante 111</w:t>
      </w:r>
    </w:p>
    <w:p>
      <w:r>
        <w:t>- 2 - son avance de frais à concurrence de 150 fr., sans allocation de dépens pour le surplus, vu le courrier daté du 3 décembre et mis à la poste le 4 décembre 2019, par lequel le poursuivi déclare recourir contre le prononcé du 22 novembre 2019, vu les motifs du prononcé adressés aux parties le 19 mai 2020 et notifiés au poursuivi le lendemain, vu le recours daté du 29 mai et posté le 30 mai 2020 par W.________,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1ère phrase, CPC), un acte de recours déposé dans ce délai étant alors considéré comme une demande de motivation, qu’en l’espèce, le dispositif du prononcé du 22 novembre 2019 a été notifié au poursuivi le 25 novembre 2019, de sorte que l’écriture postée le 4 décembre 2019, valant demande de motivation, a été déposée en temps utile, que l’acte de recours posté le 30 mai 2020 a également été déposé en temps utile, dans le délai de recours proprement dit, soit dans les dix jours à compter de la notification de la décision motivée, intervenue le 20 mai 2020 ;</w:t>
      </w:r>
    </w:p>
    <w:p>
      <w:r>
        <w:t>- 3 -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n. 1 ad art. 321 CPC), qu’en particulier, le recours doit être motivé (art. 321 al. 1 CPC), que, si la motivation du recours fait défaut, l’instance de recours n’entre pas en matière, que, selon la jurisprudence du Tribunal fédéral, la motivation du recours doit à tout le moins satisfaire aux exigences qui sont posées pour un acte d’appel (TF 5A_206/2016 du 1er juin 2016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qu’en l’espèce, l’acte du 4 décembre 2019 n’est pas du tout motivé, le recourant se bornant à déclarer qu’il recourt contre le prononcé du 22 novembre 2019, que dans son écriture du 30 mai 2020, le recourant reproche à l’autorité fiscale de refuser de prendre en considération « les frais liés à [ses] déplacements professionnels », que ce faisant, W.________ conteste le bien-fondé de la décision de taxation, mais ne soulève aucun grief ou moyen de recours contre les</w:t>
      </w:r>
    </w:p>
    <w:p>
      <w:r>
        <w:t>- 4 - considérants topiques du prononcé du juge de paix, selon lesquels la poursuivante est au bénéfice d’une décision fiscale assimilée à un jugement exécutoire au sens de l’art. 80 LP (loi fédérale sur la poursuite pour dettes et la faillite ; RS 281.1) et valant titre de mainlevée définitive d’opposition, qu’ainsi, aucune des deux écritures déposées par le recourant n’est motivée de manière conforme aux exigences posées par la loi et la jurisprudence, que le recours est dès lors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w:t>
      </w:r>
    </w:p>
    <w:p>
      <w:r>
        <w:t>- 5 - - M. W.________, - Office d’impôt du district du Gros-de-Vaud (pour l’Etat de Vaud). La Cour des poursuites et faillites considère que la valeur litigieuse est de 1'444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des districts du Jura – 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