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KC19.035998 vom 25. November 2019</w:t>
      </w:r>
    </w:p>
    <w:p>
      <w:r>
        <w:t>VD Tribunal cantonal, 2019-11-25, FR</w:t>
      </w:r>
    </w:p>
    <w:p>
      <w:r>
        <w:rPr>
          <w:b/>
        </w:rPr>
        <w:t xml:space="preserve">Quelle: </w:t>
      </w:r>
      <w:r>
        <w:t>https://mcp.opencaselaw.ch/entscheid/vd_gerichte_KC19.035998</w:t>
      </w:r>
    </w:p>
    <w:p>
      <w:r>
        <w:t>FR: VD_GERICHTE KC19.035998 du 25 novembre 2019</w:t>
      </w:r>
    </w:p>
    <w:p>
      <w:r>
        <w:t>IT: VD_GERICHTE KC19.035998 del 25 novembre 2019</w:t>
      </w:r>
    </w:p>
    <w:p>
      <w:pPr>
        <w:pStyle w:val="Heading2"/>
      </w:pPr>
      <w:r>
        <w:t>Volltext</w:t>
      </w:r>
    </w:p>
    <w:p>
      <w:r>
        <w:t>TRIBUNAL CANTONAL KC19.035998-191694 291 CO UR DE S P OURSUITES ET FAILL ITES ________________________________________________ Arrêt du 25 novembre 2019 _______________________ Composition :Mme BYRDE, présidente M. Colombini et Mme Rouleau, juges Greffier : Mme Debétaz Ponnaz ***** Art. 321 al. 1 CPC Vu la décision rendue le 8 octobre 2019, à la suite de l’interpellation de la partie poursuivie, par la Juge de paix du district de La Riviera – Pays-d’Enhaut, prononçant la mainlevée définitive, à concurrence de 24'873 fr. 70 plus intérêt au taux de 3% l’an dès le 10 avril 2019 et de 1'166 fr. 20 sans intérêt, de l’opposition formée par A.E.________, à [...], à la poursuite n° 9'147’090 de l’Office des poursuites du district de La Riviera – Pays-d’Enhaut exercée contre elle à l’instance de l’ETAT DU VALAIS, représenté par l’Office cantonal du contentieux financier, à Sion, arrêtant à 360 fr. les frais judiciaires, compensés avec l’avance de frais du poursuivant, les mettant à la charge de la poursuivie et disant 111</w:t>
      </w:r>
    </w:p>
    <w:p>
      <w:r>
        <w:t>- 2 - qu’en conséquence, celle-ci rembourserait au poursuivant son avance de frais à concurrence de 360 fr., sans allocation de dépens pour le surplus, vu la demande de motivation de ce prononcé formulée par la poursuivie par lettre du 14 octobre 2019, vu les motifs du prononcé adressés aux parties le 31 octobre 2019 et notifiés à la poursuivie le 5 novembre 2019, vu le recours déposé le 15 novembre 2019 par la poursuivie, par acte signé par son époux « po B.E.________ », concluant à l’admission du recours (1), à l’octroi de l’effet suspensif (2), à ce que « les réels débiteurs soient enregistrés conformément au dépôt des déclarations fiscales 2011 et suivantes » (3) et à ce que « nous soyons dédommagés pour les préjudices subis (plus de CHF 500’000.00 à ce jour) et que les intérêts courus à ce jour soient abandonnés » (4), vu les autres pièces du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w:t>
      </w:r>
    </w:p>
    <w:p>
      <w:r>
        <w:t>- 3 -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recours ne contient aucun grief contre les considérants topiques du prononcé attaqué, selon lesquels le poursuivant est au bénéfice de décisions fiscales assimilées à des jugements exécutoires et valant titres de mainlevée définitive d’opposition au sens de l’art. 80 LP (loi fédérale sur la poursuite pour dettes et la faillite ; RS 281.1), titres que le juge de la mainlevée n’a ni à revoir ni à interpréter (TF 5A_8/2016 ; ATF 124 III 501, JdT 1999 II 36), que le recours n’est ainsi pas motivé de manière conforme aux exigences posées par la loi et la jurisprudence et doit par conséquent être déclaré irrecevable pour ce motif ; attendu qu’au demeurant, même s’il était recevable, le recours serait manifestement infondé et devrait être rejeté,</w:t>
      </w:r>
    </w:p>
    <w:p>
      <w:r>
        <w:t>- 4 - qu’en effet,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81 al. 1 LP), que saisi d'une requête de mainlevée définitive fondée sur un jugement ou une décision administrative, le juge doit notamment vérifier si la créance en poursuite résulte de cet acte, mais n'a pas à se prononcer sur son existence matérielle ni sur le bien-fondé de la décision qui l'a sanctionnée (ATF 143 III 564 consid. 4.3.1), que, de jurisprudence constante, le juge n'a ni à revoir ni à interpréter le titre qui lui est produit (ATF 143 III 564 consid. 4.3.2), qu’en l’occurrence, la poursuivie n’a pas prouvé par titre sa libération au sens de l’art. 81 al. 1 LP, mais s’en est prise, dans ses déterminations au demeurant tardives sur la requête de mainlevée, aux décisions fiscales fondant la poursuite, que c’est ainsi à juste titre que le premier juge a prononcé la mainlevée définitive de l’opposition, aux frais de la poursuivie ; attendu que, vu le sort du recours, la requête d’effet suspensif qu’il contient est sans objet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 requête d’effet suspensif contenue dans le recours est sans objet. III. L’arrêt, rendu sans frais, est exécutoire. La présidente : La greffière :</w:t>
      </w:r>
    </w:p>
    <w:p>
      <w:r>
        <w:t>- 6 - Du L'arrêt qui précède, dont la rédaction a été approuvée à huis clos, est notifié, par l'envoi de photocopies, à : - Mme A.E.________, - Etat du Valais, Office cantonal du contentieux financier. La Cour des poursuites et faillites considère que la valeur litigieuse est de 26’039 fr.90.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