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KC19.034876 vom 18. Juni 2020</w:t>
      </w:r>
    </w:p>
    <w:p>
      <w:r>
        <w:t>VD Tribunal cantonal, 2020-06-18, FR</w:t>
      </w:r>
    </w:p>
    <w:p>
      <w:r>
        <w:rPr>
          <w:b/>
        </w:rPr>
        <w:t xml:space="preserve">Quelle: </w:t>
      </w:r>
      <w:r>
        <w:t>https://mcp.opencaselaw.ch/entscheid/vd_gerichte_KC19.034876</w:t>
      </w:r>
    </w:p>
    <w:p>
      <w:r>
        <w:t>FR: VD_GERICHTE KC19.034876 du 18 juin 2020</w:t>
      </w:r>
    </w:p>
    <w:p>
      <w:r>
        <w:t>IT: VD_GERICHTE KC19.034876 del 18 giugno 2020</w:t>
      </w:r>
    </w:p>
    <w:p>
      <w:pPr>
        <w:pStyle w:val="Heading2"/>
      </w:pPr>
      <w:r>
        <w:t>Volltext</w:t>
      </w:r>
    </w:p>
    <w:p>
      <w:r>
        <w:t>TRIBUNAL CANTONAL KC19.034876-200586 167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9'200'951 de l’Office des poursuites du même district exercée contre O.________, à [...], à l’instance de la CONFÉDÉRATION SUISSE, représentée par l’Administration cantonale des impôts (ACI), levant définitivement l’opposition formée par le poursuivi à concurrence du montant réclamé de 351 fr. 75, plus intérêts, et mettant à sa charge les frais judiciaires arrêtés à 90 fr.,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9'200'951,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w:t>
      </w:r>
    </w:p>
    <w:p>
      <w:r>
        <w:t>- 3 - vu les autres pièces du dossier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w:t>
      </w:r>
    </w:p>
    <w:p>
      <w:r>
        <w:t>- 4 - qu’en l’espèce, la requête a été déposée en temps utile, dans les dix jours suivant la notification de l’arrêt de la cour de céans constatant l’inobservation du délai de recours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w:t>
      </w:r>
    </w:p>
    <w:p>
      <w:r>
        <w:t>- 5 - qu’au demeurant, les délais légaux ne peuvent pas être prolongés (art. 144 al. 1 CPC),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90 fr. (art.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90 fr. (nonante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la Confédération suisse). La Cour des poursuites et faillites considère que la valeur litigieuse est de 351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