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KC19.034658 vom 18. Juni 2020</w:t>
      </w:r>
    </w:p>
    <w:p>
      <w:r>
        <w:t>VD Tribunal cantonal, 2020-06-18, FR</w:t>
      </w:r>
    </w:p>
    <w:p>
      <w:r>
        <w:rPr>
          <w:b/>
        </w:rPr>
        <w:t xml:space="preserve">Quelle: </w:t>
      </w:r>
      <w:r>
        <w:t>https://mcp.opencaselaw.ch/entscheid/vd_gerichte_KC19.034658</w:t>
      </w:r>
    </w:p>
    <w:p>
      <w:r>
        <w:t>FR: VD_GERICHTE KC19.034658 du 18 juin 2020</w:t>
      </w:r>
    </w:p>
    <w:p>
      <w:r>
        <w:t>IT: VD_GERICHTE KC19.034658 del 18 giugno 2020</w:t>
      </w:r>
    </w:p>
    <w:p>
      <w:pPr>
        <w:pStyle w:val="Heading2"/>
      </w:pPr>
      <w:r>
        <w:t>Volltext</w:t>
      </w:r>
    </w:p>
    <w:p>
      <w:r>
        <w:t>TRIBUNAL CANTONAL KC19.034658-200566 148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9'201'149 de l’Office des poursuites du même district exercée contre J.________, à [...], à l’instance de l’ETAT DE VAUD, représenté par l’Administration cantonale des impôts (ACI), levant définitivement l’opposition formée par la poursuivie à concurrence du montant total réclamé de 39'297 fr. 40, plus intérêts, et mettant à sa charge les frais judiciaires arrêtés à 360 fr., vu les motifs de ce prononcé notifiés à la poursuivie le 24 janvier 2020, 110</w:t>
      </w:r>
    </w:p>
    <w:p>
      <w:r>
        <w:t>- 2 - vu les trente-deux prononcés de mainlevée définitive rendus par le même magistrat dans d’autres poursuites exercées à l’instance de l’ACI, dont dix contre J.________ et vingt-deux contre son époux, vu la lettre adressée à la juge de paix le 31 janvier 2020 par l’époux de la poursuivie, agissant également pour celle-ci au bénéfice d’une procuration,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à la poursuivie et à son époux un délai au 10 février 2020 pour lui indiquer si cette lettre devait être considérée comme un recours, vu le recours déposé le 6 février 2020 auprès du Tribunal cantonal par la poursuivie contre le prononcé levant définitivement l’opposition à la poursuite n° 9'201'149, vu l’arrêt de la cour de céans du 8 avril 2020, envoyé aux parties le lendemain et notifié à la recourante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J.________,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la requérante n’a aucun intérêt à agir au sens de l’art. 59 al. 2 let. a CPC, que, quoi qu’il en soit, la requérante ne précise pas en quoi l’irrespect – pour trois jours – du délai de recours serait dû à une absence de faute ou à une faute légère de sa part, que, certes, elle évoque le fait qu’elle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qu’elle invoque là un manquement ou un comportement qui soit assimilable à une faute seulement légère, que l’avis de la juge de paix ne pouvait pas prêter à confusion, puisqu’il concernait une écriture déjà déposée, et non pas un recours à intervenir, qu’au surplus, la requérante a reçu cet avis au plus tôt le 4 février 2020, soit le lendemain de l’échéance du délai de recours, de sorte</w:t>
      </w:r>
    </w:p>
    <w:p>
      <w:r>
        <w:t>- 5 - que son interprétation hypothétique de cet avis ne peut expliquer pourquoi elle n’a pas respecté ledit délai, qu’au demeurant, les délais légaux ne peuvent pas être prolongés (art. 144 al. 1 CPC), que si la requérante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(art. 61 OELP [ordonnance sur les émoluments perçus en application de la LP; RS 281.35]), doivent être mis à la charge de la requérante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de la requérante J.________. III. L'arrêt est exécutoire.</w:t>
      </w:r>
    </w:p>
    <w:p>
      <w:r>
        <w:t>- 6 - Le président : La greffière : Du L'arrêt qui précède, dont la rédaction a été approuvée à huis clos, est notifié, par l'envoi de photocopies, à : - Mme J.________, - Administration cantonale des impôts, Division Perception-Finances (pour l’Etat de Vaud). La Cour des poursuites et faillites considère que la valeur litigieuse est de 39'297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