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KC19.034646 vom 18. Juni 2020</w:t>
      </w:r>
    </w:p>
    <w:p>
      <w:r>
        <w:t>VD Tribunal cantonal, 2020-06-18, FR</w:t>
      </w:r>
    </w:p>
    <w:p>
      <w:r>
        <w:rPr>
          <w:b/>
        </w:rPr>
        <w:t xml:space="preserve">Quelle: </w:t>
      </w:r>
      <w:r>
        <w:t>https://mcp.opencaselaw.ch/entscheid/vd_gerichte_KC19.034646</w:t>
      </w:r>
    </w:p>
    <w:p>
      <w:r>
        <w:t>FR: VD_GERICHTE KC19.034646 du 18 juin 2020</w:t>
      </w:r>
    </w:p>
    <w:p>
      <w:r>
        <w:t>IT: VD_GERICHTE KC19.034646 del 18 giugno 2020</w:t>
      </w:r>
    </w:p>
    <w:p>
      <w:pPr>
        <w:pStyle w:val="Heading2"/>
      </w:pPr>
      <w:r>
        <w:t>Volltext</w:t>
      </w:r>
    </w:p>
    <w:p>
      <w:r>
        <w:t>TRIBUNAL CANTONAL KC19.034646-200585 166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9'200'954 de l’Office des poursuites du même district exercée contre O.________, à [...], à l’instance de laCONFÉDÉRATION SUISSE, représentée par l’Administration cantonale des impôts (ACI), levant définitivement l’opposition formée par le poursuivi à concurrence du montant réclamé de 8'105 fr. 75, plus intérêts, et mettant à sa charge les frais judiciaires arrêtés à 210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9'200'954,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w:t>
      </w:r>
    </w:p>
    <w:p>
      <w:r>
        <w:t>- 5 - qu’au demeurant, les délais légaux ne peuvent pas être prolongés (art. 144 al. 1 CPC),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210 fr. (art.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210 fr. (deux cent dix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la Confédération suisse). La Cour des poursuites et faillites considère que la valeur litigieuse est de 8'105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