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KC19.033183 vom 27. März 2020</w:t>
      </w:r>
    </w:p>
    <w:p>
      <w:r>
        <w:t>VD Tribunal cantonal, 2020-03-27, FR</w:t>
      </w:r>
    </w:p>
    <w:p>
      <w:r>
        <w:rPr>
          <w:b/>
        </w:rPr>
        <w:t xml:space="preserve">Quelle: </w:t>
      </w:r>
      <w:r>
        <w:t>https://mcp.opencaselaw.ch/entscheid/vd_gerichte_KC19.033183</w:t>
      </w:r>
    </w:p>
    <w:p>
      <w:r>
        <w:t>FR: VD_GERICHTE KC19.033183 du 27 mars 2020</w:t>
      </w:r>
    </w:p>
    <w:p>
      <w:r>
        <w:t>IT: VD_GERICHTE KC19.033183 del 27 marzo 2020</w:t>
      </w:r>
    </w:p>
    <w:p>
      <w:pPr>
        <w:pStyle w:val="Heading2"/>
      </w:pPr>
      <w:r>
        <w:t>Volltext</w:t>
      </w:r>
    </w:p>
    <w:p>
      <w:r>
        <w:t>TRIBUNAL CANTONAL KC19.033183-200274 54 CO UR DE S P OURSUITES ET FAILL ITES ________________________________________________ Arrêt du 27 mars 2020 __________________ Composition :M. MAILLARD, président Mmes Byrde et Cherpillod, juges Greffier : Mme Umulisa Musaby ***** Art. 321 al. 1 CPC Vu le prononcé, rendu sous forme de dispositif le 11 octobre 2019 et notifié au poursuivi le 17 octobre suivant, par lequel la Juge de paix des districts du Jura-Nord vaudois et du Gros-de-Vaud a prononcé la mainlevée provisoire de l’opposition formée par X.________, à Concise, au commandement de payer qui lui avait été notifié à la réquisition de l’ETAT DE VAUD, représenté par le Service juridique et législatif, dans la poursuite n° 9’214’984 de l’Office des poursuites du district du Jura-Nord vaudois (I), a arrêté à 120 fr. les frais judiciaires, compensés avec l’avance de frais de la partie poursuivante (II), a mis ces frais à la charge de la partie poursuivie (III) et a dit qu’en conséquence celle-ci rembourserait à 111</w:t>
      </w:r>
    </w:p>
    <w:p>
      <w:r>
        <w:t>- 2 - la partie poursuivante son avance de frais à concurrence de 120 fr., sans allocation de dépens pour le surplus, vu l’acte posté le 18 octobre 2019 par le poursuivi, par lequel il a déclaré « contester cette décision », vu les motifs du prononcé adressés aux parties le 28 janvier 2020 et notifiés au poursuivi le 3 février 2020, vu l’acte daté du 7 février 2020 et posté le 12 février suivant, déposé devant le premier juge et acheminé à la cour de céans, par lequel le poursuivi a de nouveau déclaré « ne pas accepter la décision prise », attendu que le recours au sens des art. 319 ss CPC (Code de procédure civile du 19 décembre 2008 ; RS 272) contre une décision prise en procédure sommaire (art. 251 let. a CPC)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qu’en l’espèce, le recours a été déposé en temps utile,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w:t>
      </w:r>
    </w:p>
    <w:p>
      <w:r>
        <w:t>- 3 - qu’en particulier, le recours doit contenir, sous peine d’irrecevabilité, des conclusions en annulation ou au fond, soit ce que la partie veut que le tribunal lui alloue dans sa décision (Colombini, Code de procédure civile, Condensé de la jurisprudence fédérale et vaudois, n. 7.1 ad art. 321 CPC et la réf. citée), qu’en outre,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publié in RSPC 6/2015 pp. 512 s., et les arrêts cités),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(ibid.), attendu que ni l’acte déposé dans le délai de demande de motivation ni celui déposé dans le délai de recours ne contient des conclusions en réforme ou en annulation, qu’en outre, aucun de ces actes n’est motivé, le recourant ne critiquant en particulier pas le considérant du premier juge selon lequel le poursuivant était au bénéfice d’un acte de défaut de biens après saisie, valant reconnaissance de dette, et le poursuivi n’avait pas rendu vraisemblable sa libération,</w:t>
      </w:r>
    </w:p>
    <w:p>
      <w:r>
        <w:t>- 4 - que faute de conclusion et de motivation, le recours doit être déclaré irrecevable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X.________ - Etat de Vaud, représenté par le Service Juridique et législatif, La Cour des poursuites et faillites considère que la valeur litigieuse est de 1'041 fr. 25.</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