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KC19.029622 vom 9. Dezember 2020</w:t>
      </w:r>
    </w:p>
    <w:p>
      <w:r>
        <w:t>VD Tribunal cantonal, 2020-12-09, FR</w:t>
      </w:r>
    </w:p>
    <w:p>
      <w:r>
        <w:rPr>
          <w:b/>
        </w:rPr>
        <w:t xml:space="preserve">Quelle: </w:t>
      </w:r>
      <w:r>
        <w:t>https://mcp.opencaselaw.ch/entscheid/vd_gerichte_KC19.029622</w:t>
      </w:r>
    </w:p>
    <w:p>
      <w:r>
        <w:t>FR: VD_GERICHTE KC19.029622 du 9 décembre 2020</w:t>
      </w:r>
    </w:p>
    <w:p>
      <w:r>
        <w:t>IT: VD_GERICHTE KC19.029622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A.________, dans la poursuite n° 9'159’833, un commandement de payer les sommes de 228 fr. 95 avec intérêt à 3,5 % l’an dès le 4 mars 2019 (1), de 0 fr. 10 sans intérêt (2) et de 20 fr. 85 sans intérêt (3), indiquant comme titre de la créance ou cause de l’obligation : 1)« Impôt sur le revenu et la fortune 2015 (Etat de Vaud, Commune de Orbe) selon décision de taxation du 22.01.2019 et du décompte final du 22.01.2019 ; sommation adressée le 28.03.2019. » 2)« Intérêts compensatoires » 3)«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(249 fr. 90 au total). Le juge saisi a adressé la requête de mainlevée à A.________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 d’impôt pour les années 2008 à 2015 – Absence de base légale – Décision</w:t>
      </w:r>
    </w:p>
    <w:p>
      <w:r>
        <w:t>- 4 - arbitraire – Demande de constatation de nullité » que A.________ et L.________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90 fr. (II), les a mis à la charge du poursuivi (III) et a dit ce celui-ci devait rembourser ce montant au poursuivant qui en avait fait l’avance, sans allocation de dépens pour le surplus (IV). La motivation du prononcé, requise par A.________ et son épouse L.________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A.________ et L.________ ont adressé au « Tribunal cantonal Cour de droit administratif et public » un acte intitulé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w:t>
      </w:r>
    </w:p>
    <w:p>
      <w:r>
        <w:t>- 5 -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c/A.________,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c/A.________,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A.________ et L.________ ont déposé une écriture de la teneur suivante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KC19.029480-201059-TNU)</w:t>
      </w:r>
    </w:p>
    <w:p>
      <w:r>
        <w:t>- 6 -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135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A.________ et L.________ ont répondu ce qui suit au courrier susmentionné : « Décision sur réclamation de l’ACI – Recours – Décisions (prononcés) connexes de la justice de paix – Motivations datées du 19.06.2020, reçues le 22.06.2020</w:t>
      </w:r>
    </w:p>
    <w:p>
      <w:r>
        <w:t>- 7 -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A.________ et L.________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d’L.________.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(judex a quo), celle-ci devant</w:t>
      </w:r>
    </w:p>
    <w:p>
      <w:r>
        <w:t>- 9 -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 est erroné dès lors que cette cour (devant laquelle une procédure fiscale FI.2020.0049 est en cours concernant le recourant) n’était pas</w:t>
      </w:r>
    </w:p>
    <w:p>
      <w:r>
        <w:t>- 10 -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 différents poursuivants (Confédération et Etat de Vaud) et les différentes créances en jeu (arriérés d’impôts, amendes, intérêts, etc.), aucune</w:t>
      </w:r>
    </w:p>
    <w:p>
      <w:r>
        <w:t>- 11 -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[A.________ et son épouse L.________]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 prises ultérieurement par l’autorité inférieure sont également nulles pour cette raison ».</w:t>
      </w:r>
    </w:p>
    <w:p>
      <w:r>
        <w:t>- 12 -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c/A.________,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 administratif dont l’objet est inconnu. Subordonnée ainsi à un fait futur indéterminé et dépendant d’un fait nouveau dont l’introduction en</w:t>
      </w:r>
    </w:p>
    <w:p>
      <w:r>
        <w:t>- 13 -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 5A_488/2015 du 21 août 2015 consid. 3.2.1, publié in RSPC 6/2015 pp. 512 s., et les arrêts cités).</w:t>
      </w:r>
    </w:p>
    <w:p>
      <w:r>
        <w:t>- 14 -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 c) Selon l’art. 80 al. 1 LP (loi fédérale du 11 avril 1889 sur la poursuite pour dettes et la faillite ; RS 281.1), le créancier au bénéfice</w:t>
      </w:r>
    </w:p>
    <w:p>
      <w:r>
        <w:t>- 15 -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w:t>
      </w:r>
    </w:p>
    <w:p>
      <w:r>
        <w:t>- 16 - 564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d’L.________ doit être déclaré irrecevable. Le recours d’A.________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