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KC19.029617 vom 9. Dezember 2020</w:t>
      </w:r>
    </w:p>
    <w:p>
      <w:r>
        <w:t>VD Tribunal cantonal, 2020-12-09, FR</w:t>
      </w:r>
    </w:p>
    <w:p>
      <w:r>
        <w:rPr>
          <w:b/>
        </w:rPr>
        <w:t xml:space="preserve">Quelle: </w:t>
      </w:r>
      <w:r>
        <w:t>https://mcp.opencaselaw.ch/entscheid/vd_gerichte_KC19.029617</w:t>
      </w:r>
    </w:p>
    <w:p>
      <w:r>
        <w:t>FR: VD_GERICHTE KC19.029617 du 9 décembre 2020</w:t>
      </w:r>
    </w:p>
    <w:p>
      <w:r>
        <w:t>IT: VD_GERICHTE KC19.029617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A.I.________, dans la poursuite n° 9'159’830, un commandement de payer les sommes de 702 fr. avec intérêt à 3,5 % l’an dès le 4 mars 2019 (1), de 0 fr. 60 sans intérêt (2), de 81 fr. 50 sans intérêt (3), indiquant comme titre de la créance ou cause de l’obligation : 1)« Impôt sur le revenu et la fortune 2014 (Etat de Vaud, Commune de Orbe) selon décision de taxation du 22.01.2019 et du décompte final du 22.01.2019 ; sommation adressée le 28.03.2019. » 2)« Intérêts compensatoires » 3)«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(784 fr. 10 au total). Le juge saisi a adressé la requête de mainlevée à A.I.________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w:t>
      </w:r>
    </w:p>
    <w:p>
      <w:r>
        <w:t>- 4 - d’impôt pour les années 2008 à 2015 – Absence de base légale – Décision arbitraire – Demande de constatation de nullité » que A.I.________ et B.I.________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120 fr. (II), les a mis à la charge du poursuivi (III) et a dit ce celui-ci devait rembourser ce montant au poursuivant qui en avait fait l’avance, sans allocation de dépens pour le surplus (IV). La motivation du prononcé, requise par A.I.________ et son épouse B.I.________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A.I.________ et B.I.________ ont adressé au « Tribunal cantonal Cour de droit administratif et public » un acte intitulé : « Décision sur réclamation de l’ACI – Recours – Décisions (prononcés) connexes de la justice de paix – Motivations datées du 19.06.2020, reçues le 22.06.2020</w:t>
      </w:r>
    </w:p>
    <w:p>
      <w:r>
        <w:t>- 5 - – Recours – Demande de jonction des procédures (art. 24 LPA-VD) – Demande de suspension des procédures (art. 25 LPA-VD) – Votre courrier du 14.08.2020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c/A.I.________,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c/A.I.________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A.I.________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A.I.________ et B.I.________ ont déposé une écriture de la teneur suivante : « Décision sur réclamation de l’ACI – Recours – Décisions (prononcés) connexes de la justice de paix – Motivations datées du 19.06.2020, reçues le 22.06.2020 – Recours – Demande de jonction des procédures (art. 24 LPA-VD) –</w:t>
      </w:r>
    </w:p>
    <w:p>
      <w:r>
        <w:t>- 6 - Demande de suspension des procédures (art. 25 LPA-VD) – Votre courrier du 14.08.2020 (V. réf. : KC19.029480-201059-TNU)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180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A.I.________ et B.I.________ ont répondu ce qui suit au courrier susmentionné :</w:t>
      </w:r>
    </w:p>
    <w:p>
      <w:r>
        <w:t>- 7 -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A.I.________ et B.I.________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d’B.I.________.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d’A.I.________.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w:t>
      </w:r>
    </w:p>
    <w:p>
      <w:r>
        <w:t>- 9 - Le délai de recours est réputé observé si l’acte de recours est adressé à temps à l’autorité qui a statué (judex a quo), celle-ci devant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A.I.________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w:t>
      </w:r>
    </w:p>
    <w:p>
      <w:r>
        <w:t>- 10 - est erroné dès lors que cette cour (devant laquelle une procédure fiscale FI.2020.0049 est en cours concernant le recourant) n’était pas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w:t>
      </w:r>
    </w:p>
    <w:p>
      <w:r>
        <w:t>- 11 - différents poursuivants (Confédération et Etat de Vaud) et les différentes créances en jeu (arriérés d’impôts, amendes, intérêts, etc.), aucune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[A.I.________ et son épouse B.I.________]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w:t>
      </w:r>
    </w:p>
    <w:p>
      <w:r>
        <w:t>- 12 - prises ultérieurement par l’autorité inférieure sont également nulles pour cette raison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c/A.I.________,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w:t>
      </w:r>
    </w:p>
    <w:p>
      <w:r>
        <w:t>- 13 - administratif dont l’objet est inconnu. Subordonnée ainsi à un fait futur indéterminé et dépendant d’un fait nouveau dont l’introduction en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w:t>
      </w:r>
    </w:p>
    <w:p>
      <w:r>
        <w:t>- 14 - 5A_488/2015 du 21 août 2015 consid. 3.2.1, publié in RSPC 6/2015 pp. 512 s., et les arrêts cités).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w:t>
      </w:r>
    </w:p>
    <w:p>
      <w:r>
        <w:t>- 15 - c)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w:t>
      </w:r>
    </w:p>
    <w:p>
      <w:r>
        <w:t>- 16 - poursuite, mais l'existence d'un titre exécutoire, le juge de la mainlevée ne se prononçant que sur la force probante du titre produit (ATF 143 III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d’B.I.________ doit être déclaré irrecevable. Le recours d’A.I.________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