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KC19.018278 vom 30. Juni 2020</w:t>
      </w:r>
    </w:p>
    <w:p>
      <w:r>
        <w:t>VD Tribunal cantonal, 2020-06-30, FR</w:t>
      </w:r>
    </w:p>
    <w:p>
      <w:r>
        <w:rPr>
          <w:b/>
        </w:rPr>
        <w:t xml:space="preserve">Quelle: </w:t>
      </w:r>
      <w:r>
        <w:t>https://mcp.opencaselaw.ch/entscheid/vd_gerichte_KC19.018278</w:t>
      </w:r>
    </w:p>
    <w:p>
      <w:r>
        <w:t>FR: VD_GERICHTE KC19.018278 du 30 juin 2020</w:t>
      </w:r>
    </w:p>
    <w:p>
      <w:r>
        <w:t>IT: VD_GERICHTE KC19.018278 del 30 giugno 2020</w:t>
      </w:r>
    </w:p>
    <w:p>
      <w:pPr>
        <w:pStyle w:val="Heading2"/>
      </w:pPr>
      <w:r>
        <w:t>Erwägungen</w:t>
      </w:r>
    </w:p>
    <w:p>
      <w:r>
        <w:rPr>
          <w:b/>
        </w:rPr>
        <w:t>E. 29</w:t>
      </w:r>
    </w:p>
    <w:p>
      <w:r>
        <w:t>al. 2 Cst. [Constitution fédérale de la Confédération suisse; RS 101] et 6 § 1 CEDH [Convention européenne de sauvegarde des droits de l'homme et des libertés fondamentales; RS 0.101] (Haldy, in CR-CPC, nn. 1 à 5 ad art. 53 CPC ; Bohnet, in CR-CPC, n. 2 ad art. 253 CPC ; Klinger, in Sutter- Somm/Hasenböhler/Leuenberger, Kommentar zur Schweizerische Zivilprozess- ordnung, 3e éd., n. 1 ad art. 253 ZPO [CPC]). Le droit d’être entendu est de nature formelle et sa violation justifie en principe l’annulation de la décision entreprise, sans qu’il soit nécessaire d’examiner si son respect aurait conduit à une décision différente (Haldy, op. cit., n. 19 ad art. 53 CPC). Cependant, selon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w:t>
      </w:r>
    </w:p>
    <w:p>
      <w:r>
        <w:t>- 8 - garde, la fiction ne s’applique pas et ces actes doivent être notifiés à nouveau d’une autre manière contre accusé de réception (art. 138 al. 1 CPC), par exemple par huissier (Bohnet, op. cit., n. 31 ad art. 138 CPC ; JdT 2017 III 174 ; CPF 30 mars 2015/112 ; CPF 21 novembre 2014/ 391 ; CPF 10 avril 2014/145 et les nombreux arrêts cités). b) En l’espèce, le pli recommandé contenant la requête de mainlevée et la lettre fixant à la poursuivie un délai pour se déterminer est revenu au greffe de la justice de paix avec la mention "non réclamé". Il ne ressort pas du dossier, et en particulier du procès-verbal des opérations, que ce pli aurait été à nouveau notifié à sa destinataire, par exemple par huissier. Le seul renvoi en courrier A, le 10 mai 2019, est insuffisant. Certes, la poursuivie a produit le 29 mai 2019 une quittance établie le 17 mai 2019 par l’Office des poursuites du district de Lausanne pour le « règlement d’une affaire », mais elle concerne une poursuite n° 9'125'798, autre que celle qui fait l’objet de la présente cause ; la référence KC19.018278 semble avoir été ajoutée sur la pièce par erreur, par le greffe, qui n’a toutefois pas mentionné la production de cette pièce dans le procès-verbal des opérations. On ne saurait déduire de ces éléments que cette production constituait la détermination de la poursuivie sur la requête de mainlevée de l’opposition à la poursuite n° 8’981’446. Au contraire, on doit considérer que l’intéressée n'a pas eu la possibilité de prendre connaissance de cette requête, ni de se déterminer à son sujet, ce qui constitue une violation de son droit d'être entendue. Cette violation doit être constatée d’office et le prononcé attaqué annulé, d’autant que le recours contre ce prononcé qui était favorable à l’intimée, doit être admis. IV. En conclusion, le recours est admis, le prononcé annulé et la cause renvoyée à la Juge de paix du district de Lausanne pour qu'elle fasse notifier la requête de mainlevée d’opposition à la poursuivie et lui impartisse un délai pour se déterminer, avant de rendre une nouvelle décision.</w:t>
      </w:r>
    </w:p>
    <w:p>
      <w:r>
        <w:t>- 9 - Les frais judiciaires de deuxième instance, arrêtés à 225 fr., peuvent être laissés à la charge de l’Etat (art. 107 al. 2 CPC). La recourante a droit au remboursement de son avance de frais du même montant par la caisse du Tribunal cantonal. Il n’y a en revanche pas lieu d’allouer des dépens de deuxième instance à la recourante, non assistée, qui n’en a pas réclamé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