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KC19.010699 vom 26. Februar 2020</w:t>
      </w:r>
    </w:p>
    <w:p>
      <w:r>
        <w:t>VD Tribunal cantonal, 2020-02-26, FR</w:t>
      </w:r>
    </w:p>
    <w:p>
      <w:r>
        <w:rPr>
          <w:b/>
        </w:rPr>
        <w:t xml:space="preserve">Quelle: </w:t>
      </w:r>
      <w:r>
        <w:t>https://mcp.opencaselaw.ch/entscheid/vd_gerichte_KC19.010699</w:t>
      </w:r>
    </w:p>
    <w:p>
      <w:r>
        <w:t>FR: VD_GERICHTE KC19.010699 du 26 février 2020</w:t>
      </w:r>
    </w:p>
    <w:p>
      <w:r>
        <w:t>IT: VD_GERICHTE KC19.010699 del 26 febbraio 2020</w:t>
      </w:r>
    </w:p>
    <w:p>
      <w:pPr>
        <w:pStyle w:val="Heading2"/>
      </w:pPr>
      <w:r>
        <w:t>Erwägungen</w:t>
      </w:r>
    </w:p>
    <w:p>
      <w:r>
        <w:rPr>
          <w:b/>
        </w:rPr>
        <w:t>E. 17</w:t>
      </w:r>
    </w:p>
    <w:p>
      <w:r>
        <w:t>octobre 2017 fixant le domicile fiscal) ni les lettres suivantes de l'office d'impôts" et que "la lettre du 17 octobre 2017 de l'administration cantonale des impôts de Lausanne "détermination de votre domicile fiscal" ainsi que les sommations de déposer la déclaration 2017 et les évaluations d'office ont tous été envoyés à R.________, qui n'est pas l'adresse officielle de Monsieur J.________, donc il n'a jamais reçu ces documents et ils n'ont pas de signification dans ce cas". La constatation du premier juge sur ce point est arbitraire et doit être corrigée en ce sens que le recourant a contesté en première instance avoir reçu la décision et le décompte final du 31 août 2018, dès lors qu’ils avaient été adressés à R.________. II. Le recourant fait valoir qu'il est domicilié à O.________, commune de [...] de sorte qu'il ne pourrait faire l'objet d'une poursuite à R.________. a) Selon l'art. 46 LP (loi fédérale du 11 avril 1889 sur la poursuite pour dettes et la faillite ; RS 281.1), le for de la poursuite est au</w:t>
      </w:r>
    </w:p>
    <w:p>
      <w:r>
        <w:t>- 10 - domicile du débiteur. L’inobservation des règles sur le for de la poursuite, singulièrement de l'art. 46 LP,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 ATF 82 III 63 consid. 4; ATF 88 III 7 consid. 3; ATF 96 III 89 consid. 2; TF 5A_362/2013 du 14 octobre 2013 consid. 3.2). Un commandement de payer délivré par un office incompétent à raison du lieu ne peut ainsi qu'être annulé à la suite d'une plainte formée en temps utile (TF 5A_333/2017 du 4 août 2017 consid. 3.2; TF 5A_108/2018 du 11 juin 2018 c. 3). Lorsque le délai de plainte n'est pas utilisé, le commandement de payer constitue le fondement pour les autres actes de poursuites par l'office compétent (TF 5A_50/2018 du 15 janvier 2019 c. 3.1). b) En l'espèce, faute de plainte en temps utile devant les autorités de surveillance, le recourant ne peut plus remettre en cause la validité du commandement de payer, ni les actes de poursuite subséquents. Le moyen est irrecevable. III. Reprenant les moyens déjà soulevés en première instance, le recourant fait également valoir que, dès le 12 septembre 2017, l'office d'impôt savait que L.________ était son représentant fiscal et que toutes les correspondances en matière fiscale devaient être adressées à ce dernier en vertu de la procuration spéciale communiquée. Il confirme qu’il n’a pas reçu la décision du 17 octobre 2017 ni les lettres suivantes de l’Office d’impôts des districts de Nyon et Morges tous envoyés à R.________, ces actes étant au surplus nuls. a) Le créancier qui est au bénéfice d'un jugement exécutoire peut requérir du juge la mainlevée définitive de l'opposition (art. 80 al. 1 LP). Les décisions des autorités administratives suisses sont assimilées à des jugements (art. 80 al. 2 ch. 2 LP).</w:t>
      </w:r>
    </w:p>
    <w:p>
      <w:r>
        <w:t>- 11 -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in Staehelin/Bauer/Staehelin (éd.), Basler Kommentar SchKG I, 2e éd., n. 120 ad art. 80 LP ; Panchaud/ Caprez, La mainlevée d'opposition, § 122). La loi fédérale sur l’impôt fédéral direct (LIFD ; RS 642.11), en vertu de laquelle la Confédération perçoit notamment un impôt sur le revenu des personnes physiques (art. 1 let. a LIFD), prévoit à son art. 165 al. 3, applicable en matière d’amende par le renvoi de l’art. 185 al. 1 LIFD, que dans la procédure de poursuite, les décisions et prononcés de taxation rendus par les autorités chargées de l'application de la loi, qui sont entrés en force, produisent les mêmes effets qu'un jugement exécutoire.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27 février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w:t>
      </w:r>
    </w:p>
    <w:p>
      <w:r>
        <w:t>- 12 -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w:t>
      </w:r>
    </w:p>
    <w:p>
      <w:r>
        <w:t>- 13 - b) En l'espèce, tant la sommation du 23 mars 2018 que la décision de taxation définitive et prononcé d'amende du 31 août 2018, de même que le rappel du 1er novembre 2018 ont été adressés sous pli simple au recourant. L'intimée n'a donc pas pu produire de documents attestant qu'ils avaient bien été notifiés au recourant. La preuve de la notification ne peut pas non plus se déduire de l'attitude du recourant en procédure dans la mesure où il a, en première instance déjà, fait valoir qu'il n'avait pas reçu les décisions et courriers en cause. On peut certes considérer que le recourant est globalement peu crédible dans la mesure où il conteste, en bloc, la réception de tous les plis simples qui lui ont été adressés par l'intimée. Ce constat ne suffit toutefois pas pour retenir, même au degré de la vraisemblance prépondérante, que la décision de taxation et le décompte final du 31 août 2018 lui sont bien parvenus. On doit donc considérer que la preuve de la notification régulière des décisions invoquées comme titres de mainlevée n’a pas été apportée (cf. CPF 10 août 2018/170). Cela étant, le recours doit être admis, faute de preuve de la notification de décisions qui ne pouvaient dès lors être définitives et exécutoires au jour de la notification de commandement de payer, date déterminante (Abbet, in Abbet/Veuillet (éd.), La mainlevée de l'opposition, n. 143 ad art. 80 LP). Les décisions qui n'ont pas été communiquées à la personne concernée ne déploient en effet en principe aucun effet juridique (ATF 141 III 97 consid. 7.1). IV. a) Il sied cependant de relever que l'intimée aura vraisemblablement la faculté de requérir une nouvelle poursuite sans devoir notifier à nouveau les décisions en cause, qui paraissent à première vue désormais exécutoires en vertu du principe de la bonne foi. En effet,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w:t>
      </w:r>
    </w:p>
    <w:p>
      <w:r>
        <w:t>- 14 - juillet 2014 consid. 4.2). Attendre passivement serait en effet contraire à ce principe (TF 9C_202/2014 du 11 juillet 2014 consid. 4.2 et les références citées). Contrevient évidemment à la bonne foi celui qui omet de se renseigner pendant plusieurs années (ATF 107 la 72 consid. 4a) ; il en va de même de celui qui reste inactif pendant deux mois (TF 1P.485/1999 du</w:t>
      </w:r>
    </w:p>
    <w:p>
      <w:r>
        <w:rPr>
          <w:b/>
        </w:rPr>
        <w:t>E. 18</w:t>
      </w:r>
    </w:p>
    <w:p>
      <w:r>
        <w:t>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La Cour de céans a ainsi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CPF 10 août 2018/170).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w:t>
      </w:r>
    </w:p>
    <w:p>
      <w:r>
        <w:t>- 15 - 398/2003 du 14 juin 2004). Le principe de la bonne foi (art. 5 al. 3 Cst.)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 En l'espèce, le commandement de payer qui a été notifié au recourant le 22 janvier 2019 mentionnait expressément, comme titres de la créance, la décision de taxation du 31 août 2018 et la sommation du 1er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qu'elle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w:t>
      </w:r>
    </w:p>
    <w:p>
      <w:r>
        <w:t>- 16 - Par conséquent, au vu des principes rappelés plus haut, il est vraisemblable, sans qu’il y ait lieu de trancher définitivement la question, que la créance est désormais exigible et que la décision en cause est à ce jour exécutoire. V. En conclusion, le recours doit être admis et le prononcé réformé en ce sens que l’opposition est maintenue. Vu l’admission du recours, les frais judiciaires de première instance, fixés à 90 fr., doivent être mis à la charge de la poursuivante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135 fr., doivent être mis à la charge de l’intimée, qui en remboursera l’avance au recourant, par 135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