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KC19.010572 vom 7. Oktober 2019</w:t>
      </w:r>
    </w:p>
    <w:p>
      <w:r>
        <w:t>VD Tribunal cantonal, 2019-10-07, FR</w:t>
      </w:r>
    </w:p>
    <w:p>
      <w:r>
        <w:rPr>
          <w:b/>
        </w:rPr>
        <w:t xml:space="preserve">Quelle: </w:t>
      </w:r>
      <w:r>
        <w:t>https://mcp.opencaselaw.ch/entscheid/vd_gerichte_KC19.010572</w:t>
      </w:r>
    </w:p>
    <w:p>
      <w:r>
        <w:t>FR: VD_GERICHTE KC19.010572 du 7 octobre 2019</w:t>
      </w:r>
    </w:p>
    <w:p>
      <w:r>
        <w:t>IT: VD_GERICHTE KC19.010572 del 7 ottobre 2019</w:t>
      </w:r>
    </w:p>
    <w:p>
      <w:pPr>
        <w:pStyle w:val="Heading2"/>
      </w:pPr>
      <w:r>
        <w:t>Volltext</w:t>
      </w:r>
    </w:p>
    <w:p>
      <w:r>
        <w:t>TRIBUNAL CANTONAL KC19.010572-191230 219 CO UR DE S P OURSUITES ET FAILL ITES ________________________________________________ Arrêt du 7 octobre 2019 __________________ Composition :Mme BYRDE, présidente MM. Colombini et Maillard, juges Greffier : Mme Umulisa Musaby ***** Art. 321 al. 1 CPC Vu le prononcé du 17 mai 2019, rendu sous forme de dispositif, par lequel la Juge de paix du district de Lavaux-Oron, statuant à la suite de l’interpellation de la partie poursuivie, a rejeté la requête de mainlevée déposée le 6 mars 2019 par la poursuivante X.________SA, à Lutry, dans la poursuite ordinaire n° 8’736’996 de l’Office des poursuites du district de Lavaux-Oron exercée contre D.________SA, à Chexbres, a arrêté à 360 fr. les frais judiciaires, compensés avec l’avance de frais de la poursuivante, les a mis à la charge de celle-ci et n’a pas alloué de dépens, vu la demande de motivation déposée le 20 mai 2019 par la poursuivante, 111</w:t>
      </w:r>
    </w:p>
    <w:p>
      <w:r>
        <w:t>- 2 - vu les motifs du prononcé adressés aux parties pour notification le 5 août 2019 et notifiés à la poursuivante le lendemain, vu l’acte de recours posté le 9 août 2019 par X.________SA; attendu que le recours au sens des art. 319 ss CPC (Code de procédure civile du 19 décembre 2008 ; RS 272) contre une décision prise en procédure sommaire (art. 251 let. a CPC) doit être introduit auprès de l’instance de recours par acte écrit et motivé (art. 321 al. 1 CPC), dans les dix jours à compter de la notification de la décision motivée (art. 321 al. 2 CPC), qu’en l’espèce, le recours est écrit et a été déposé en temps utile ; attendu que la partie qui entend user d'une voie de droit a la charge de se conformer à certaines règles de forme, à défaut de quoi sa démarche sera frappée d'irrecevabilité (Jeandin, in Bohnet et al. [éd.], Commentaire romand, Code de procédure civile, 2e éd.,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consid. 4.2.1 ; TF 5A_488/2015 du 21 août 2015 consid. 3.2.1, publié in RSPC 6/2015 pp. 512 s., et les arrêts cités), que cela signifie que le recourant doit démontrer le caractère erroné de la motivation de la décision attaquée et que son argumentation</w:t>
      </w:r>
    </w:p>
    <w:p>
      <w:r>
        <w:t>- 3 - doit être suffisamment explicite pour que l’instance de recours puisse la comprendre, ce qui suppose une désignation précise des passages de la décision qu’il attaque et des pièces du dossier sur lesquelles il fonde sa critique (ibid.), qu’en l’espèce, la recourante se borne à dire qu’elle n’est pas d’accord avec la décision rejetant sa requête de mainlevée, car l’acceptation de cette décision entraînerait une perte de 15'610 fr. 30, qu’elle n’explique toutefois pas en quoi la motivation du juge de paix serait erronée, que dans la mesure où la recourante ne motive pas son recours, celui-ci doit être déclaré irrecevable, que supposé recevable, le recours serait de toute manière infondé, qu’en effet, le juge de paix a constaté qu’il n’y avait pas d’identité entre la dette reconnue par la poursuivie, par reconnaissance de dette du 28 août 2018, et la dette réclamée en poursuite, dont le titre figurant sur le commandement de payer était constitué de diverses factures, que faute d’identité entre la créance déduite en poursuite et le titre de mainlevée provisoire (en l’occurrence la reconnaissance de dette précitée), c’est à juste titre que le juge de paix a rejeté la requête de mainlevée (cf. TF 5A_740/2018 du 1er avril 2019 consid. 6.1.2) ; attendu que la recourante pourra intenter une nouvelle poursuite, en invoquant la reconnaissance de dette du 28 août 2018 comme titre de mainlevée provisoire ;</w:t>
      </w:r>
    </w:p>
    <w:p>
      <w:r>
        <w:t>- 4 - attendu que le présent arrêt peut être rendu sans frais judiciaires (art. 11 du Tarif du 28 septembre 2010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X.________SA, - D.________SA La Cour des poursuites et faillites considère que la valeur litigieuse est de 15'610 fr. 30. Le présent arrêt peut faire l'objet d'un recours en matière civile devant le Tribunal fédéral au sens des art. 72 ss LTF (loi du 17 juin 2005 sur le Tribunal fédéral – RS 173.110), cas échéant d'un recours</w:t>
      </w:r>
    </w:p>
    <w:p>
      <w:r>
        <w:t>- 5 -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