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KC19.006668 vom 9. September 2019</w:t>
      </w:r>
    </w:p>
    <w:p>
      <w:r>
        <w:t>VD Tribunal cantonal, 2019-09-09, FR</w:t>
      </w:r>
    </w:p>
    <w:p>
      <w:r>
        <w:rPr>
          <w:b/>
        </w:rPr>
        <w:t xml:space="preserve">Quelle: </w:t>
      </w:r>
      <w:r>
        <w:t>https://mcp.opencaselaw.ch/entscheid/vd_gerichte_KC19.006668</w:t>
      </w:r>
    </w:p>
    <w:p>
      <w:r>
        <w:t>FR: VD_GERICHTE KC19.006668 du 9 septembre 2019</w:t>
      </w:r>
    </w:p>
    <w:p>
      <w:r>
        <w:t>IT: VD_GERICHTE KC19.006668 del 9 settembre 2019</w:t>
      </w:r>
    </w:p>
    <w:p>
      <w:pPr>
        <w:pStyle w:val="Heading2"/>
      </w:pPr>
      <w:r>
        <w:t>Volltext</w:t>
      </w:r>
    </w:p>
    <w:p>
      <w:r>
        <w:t>TRIBUNAL CANTONAL KC19.006668-191030 182 CO UR DE S P OURSUITES ET FAILL ITES ________________________________________________ Arrêt du 9 septembre 2019 __________________ Composition :Mme BYRDE, présidente M. Hack et Mme Rouleau, juges Greffier : Mme Umulisa Musaby ***** Art. 321 al. 1 CPC Vu le prononcé du 25 mars 2019 par lequel la Juge de paix du district de Morges, statuant à la suite de l’interpellation de la partie poursuivie, a prononcé la mainlevée définitive de l’opposition formée par I.________, à Morges, à concurrence de 4'475 fr., à la poursuite n° 8’867’805 de l’Office des poursuites du district de Morges exercée contre lui à l’instance de l’Etat de Vaud, représenté par le Service juridique et Législatif, a arrêté à 180 fr. les frais judiciaires, compensés avec l’avance de frais du poursuivant, les a mis à la charge du poursuivi et a dit que celui-ci rembourserait au poursuivant son avance de frais à concurrence de 180 fr., sans allocation de dépens pour le surplus, 111</w:t>
      </w:r>
    </w:p>
    <w:p>
      <w:r>
        <w:t>- 2 - vu la demande de motivation déposée par le poursuivi le 2 avril 2019, vu les motifs du prononcé adressés pour notification aux parties le 20 juin 2019 et notifiés au poursuivi le 25 juin 2019, vu l’acte de recours déposé le 27 juin 2019 par I.________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 et al. [éd.], Commentaire romand, Code de procédure civile, 2e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le recourant ne formule aucun grief ou moyen de recours contre la motivation du juge de paix, qu’en particulier, il ne conteste pas les considérants de ce magistrat selon lesquels le poursuivant était au bénéfice des décisions judiciaires, valant titre de mainlevée définitive au sens de l’art. 80 LP (loi fédérale sur la poursuite pour dettes et la faillite ; RS 281.1), et que le poursuivi n’avait soulevé aucun moyen libératoire au sens de l’art. 81 LP, que pour ce motif, le recours s’avère irrecevable, que supposé recevable, le recours serait manifestement mal fondé, que le recourant soutient que faute d’avoir rempli « une déclaration de transparence quant à [son] éventuelle appartenance à une société secrète », le premier juge était récusé, car « réputé membre d’une secte occulte », que le prononcé de mainlevée aurait ignoré cette circonstance, que le premier juge aurait commis un déni de justice manifeste en ignorant ce fait, que son prononcé devrait être déclaré nul et non avenu et que si les juges cantonaux refusent de satisfaire à sa « Demande de transparence ci-jointe », ils seraient également récusés, « car réputés d’appartenir à une secte satanique », que, dans la mesure où il faudrait voir dans ces allégations un motif de récusation des membres de la cour de céans, cette requête serait irrecevable,</w:t>
      </w:r>
    </w:p>
    <w:p>
      <w:r>
        <w:t>- 4 - qu’en effet, selon la jurisprudence connue du recourant (cf. CPF 10 septembre 2018/203), une requête dirigée globalement contre l’ensemble des membres du tribunal de manière abusive est irrecevable (TF 5A_194/2014 du 21 mai 2014 consid. 3.5 ; 5A_489/2017 du 29 novembre 2017 consid. 3.3) et peut être écartée par le tribunal lui-même (TF 1C_103/2011 du 24 juin 2011 consid. 2.4, SJ 2011 I 492 ; TF 1B_425/2012 consid. 5.2 ; 5A_706/2015 du 9 décembre 2015 consid. 6.2), qu’en outre, le recourant sait que la conclusion tendant à obtenir des magistrats la révélation de leur appartenance à diverses associations socio-professionnelles, religieuses ou d’autre nature, est irrecevable, faute d’invocation par l’intéressé d’un motif de récusation précis au sens de l’art. 47 CPC (cf. par exemple TF 6B_378/2019 du 25 mars 2019 consid. 2), que s’agissant des griefs adressés au premier juge, le recourant sait déjà (cf. CPF 10 septembre 2018/203) que le fait pour un magistrat de ne pas répondre à son formulaire « demande de transparence » ne constitue pas non plus un motif de prévention au sens de l’art. 47 al. 1 CPC, qu’ainsi, de toute manière et contrairement à ce qu’il tente de soutenir, le prononcé attaqué n’a pas été rendu au mépris de la garantie d’un tribunal impartial et indépendant (art. 30 al. 1 Cst.)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Du L'arrêt qui précède, dont la rédaction a été approuvée à huis clos, est notifié, par l'envoi de photocopies, à : - M. I.________, - Etat de Vaud, Service juridique et législatif. La Cour des poursuites et faillites considère que la valeur litigieuse est de 8'913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- 6 -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