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KC19.004501 vom 3. Juni 2019</w:t>
      </w:r>
    </w:p>
    <w:p>
      <w:r>
        <w:t>VD Tribunal cantonal, 2019-06-03, FR</w:t>
      </w:r>
    </w:p>
    <w:p>
      <w:r>
        <w:rPr>
          <w:b/>
        </w:rPr>
        <w:t xml:space="preserve">Quelle: </w:t>
      </w:r>
      <w:r>
        <w:t>https://mcp.opencaselaw.ch/entscheid/vd_gerichte_KC19.004501</w:t>
      </w:r>
    </w:p>
    <w:p>
      <w:r>
        <w:t>FR: VD_GERICHTE KC19.004501 du 3 juin 2019</w:t>
      </w:r>
    </w:p>
    <w:p>
      <w:r>
        <w:t>IT: VD_GERICHTE KC19.004501 del 3 giugno 2019</w:t>
      </w:r>
    </w:p>
    <w:p>
      <w:pPr>
        <w:pStyle w:val="Heading2"/>
      </w:pPr>
      <w:r>
        <w:t>Volltext</w:t>
      </w:r>
    </w:p>
    <w:p>
      <w:r>
        <w:t>TRIBUNAL CANTONAL KC19.004501-190598 107 CO UR DE S P OURSUITES ET FAILL ITES ________________________________________________ Arrêt du 3 juin 2019 __________________ Composition :Mme BYRDE, présidente M. Colombini et Mme Rouleau, juges Greffier : Mme Joye ***** Art. 321 al. 1 CPC Vu la décision rendue par le Juge de Paix du district du Jura – Nord vaudois le 6 mars 2019, à la suite de l'interpellation du poursuivi, prononçant la mainlevée définitive, à concurrence de 40 fr plus intérêt à 3% l’an dès le 20 novembre 2018, de l’opposition formée par P.________, à ...]Le Pont, à la poursuite n° 8'955'940 de l’Office des poursuites du même district, exercée contre lui à l’instance de l'ETAT DE FRIBOURG, représenté par le Service cantonal des contributions, à Fribourg, arrêtant à 90 fr. les frais judiciaires, compensés avec l’avance de frais du poursuivant, les mettant, par moitié à la charge du poursuivant et, par moitié, à la charge du 111</w:t>
      </w:r>
    </w:p>
    <w:p>
      <w:r>
        <w:t>- 2 - poursuivi et disant que celui-ci doit rembourser au poursuivant son avance de frais à concurrence de 45 fr., sans allocation de dépens pour le surplus, vu la motivation de ce prononcé – requise par le poursuivi par lettre postée le 11 mars 2019 – adressée pour notification aux parties le 3 avril 2019, vu la lettre du 10 avril, postée le 12 avril 2019, par laquelle le poursuivi déclare "contester le bien-fondé des éléments de la taxation du canton de Fribourg pour les années 2012 à 2017" et demande l'octroi de l'assistance judiciaire,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1re phrase, CPC), qu’en l’espèce, tant la demande de motivation du 11 mars 2019 que la déclaration de recours du 12 avril 2019 ont été déposées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selon l'art. 321 al. 1 CPC, le recours doit être motivé,</w:t>
      </w:r>
    </w:p>
    <w:p>
      <w:r>
        <w:t>- 3 -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qu’à défaut de motivation – dans le délai légal –, l’instance de recours n’entre pas en matière ; attendu qu’en l’espèce, le recourant déclare contester le bien- fondé des éléments de la taxation fiscale pour les années 2012 à 2017, que ce faisant, il ne remet pas en question la motivation du prononcé selon laquelle l’intimé est au bénéfice d’une décision de taxation définitive et exécutoire, valant titre à la mainlevée définitive, que son recours ne satisfait pas aux exigences de motivation de l’art. 321 al. 1 CPC et de la jurisprudence susmentionnée, qu’il est en conséquence irrecevable, qu'à supposer recevable, le recours aurait de toute manière dû être rejeté,</w:t>
      </w:r>
    </w:p>
    <w:p>
      <w:r>
        <w:t>- 4 - qu’en effet, la jurisprudence considère que le juge de la mainlevée ne peut revoir le bien-fondé de la décision sur laquelle se fonde la demande de mainlevée définitive (ATF 140 III 180 consid. 5.2.1 ; ATF 124 III 501 consid. 3a, JdT 1999 II 136), que l’art. 81 al. 1 LP (loi fédérale du 11 avril 1889 sur la poursuite pour dettes et la faillite ; RS 281.1) ne permet au juge de refuser la mainlevée définitive en présence d’une décision exécutoire que si l’opposant prouve par titre que la dette a été éteinte ou qu’il a obtenu un sursis postérieurement à la décision ou qu’il ne se prévale de la prescription, qu’en l’espèce, le recourant n’avait produit en première instance aucune pièce établissant que l’intimé lui aurait accordé un sursis, qu'ainsi, en présence d'une décision de taxation définitive et exécutoire, c'est à juste titre que le premier juge a prononcé la mainlevée définitive de l’opposition ; attendu que l’irrecevabilité du recours rend sans objet la demande d’assistance judiciaire, que, de toute manière, cette demande aurait dû être rejetée, l’assis-tance d’un mandataire professionnel d'office ne se justifiant pas en l'espèce, dès lors que la cause est simple et que le moyen de défense du poursuivi est dénué de chance de succès pour les motifs exposés ci- dessus, sans parler du fait que le délai de recours étant échu, un avocat ne pourrait déposer aucune nouvelle écriture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 demande d’assistance judiciaire est sans objet. II. L’arrêt, rendu sans frais, est exécutoire. La présidente : La greffière : Du L'arrêt qui précède, dont la rédaction a été approuvée à huis clos, est notifié, par l'envoi de photocopies, à : - M. P.________, - Service cantonal des contributions (pour l'Etat de Fribourg). La Cour des poursuites et faillites considère que la valeur litigieuse est de 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