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KC19.000064 vom 5. August 2019</w:t>
      </w:r>
    </w:p>
    <w:p>
      <w:r>
        <w:t>VD Tribunal cantonal, 2019-08-05, FR</w:t>
      </w:r>
    </w:p>
    <w:p>
      <w:r>
        <w:rPr>
          <w:b/>
        </w:rPr>
        <w:t xml:space="preserve">Quelle: </w:t>
      </w:r>
      <w:r>
        <w:t>https://mcp.opencaselaw.ch/entscheid/vd_gerichte_KC19.000064</w:t>
      </w:r>
    </w:p>
    <w:p>
      <w:r>
        <w:t>FR: VD_GERICHTE KC19.000064 du 5 août 2019</w:t>
      </w:r>
    </w:p>
    <w:p>
      <w:r>
        <w:t>IT: VD_GERICHTE KC19.000064 del 5 agosto 2019</w:t>
      </w:r>
    </w:p>
    <w:p>
      <w:pPr>
        <w:pStyle w:val="Heading2"/>
      </w:pPr>
      <w:r>
        <w:t>Erwägungen</w:t>
      </w:r>
    </w:p>
    <w:p>
      <w:r>
        <w:rPr>
          <w:b/>
        </w:rPr>
        <w:t>E. 20</w:t>
      </w:r>
    </w:p>
    <w:p>
      <w:r>
        <w:t>novembre 2007 consid. 5.1). Le créancier qui requiert la mainlevée sur la base d'une cédule hypothécaire n'a donc pas à produire une reconnaissance de dette pour la créance causale (ATF 140 III 180 consid. 5.1.2 ; sur le tout TF 5A_734/2018 du 4 décembre 2018 consid. 4.3.2). Pour que le poursuivant puisse valablement se prévaloir de la créance abstraite dans une poursuite en réalisation de gage immobilier, il est nécessaire que cette créance soit exigible, et ce à la date de la notification du commandement de payer (TF 5A_734/2018 du 4 décembre 2018 consid. 5.3.1 ; TF 5A_785/2016 du 2 février 2017 consid. 3.2.2). De son côté, le débiteur poursuivi peut faire valoir, à titre de moyen libératoire, que la créance de base n’est pas exigible ; en effet, la</w:t>
      </w:r>
    </w:p>
    <w:p>
      <w:r>
        <w:t>- 11 - cédule ayant une fonction de garantie, elle ne saurait déployer d’effets si la créance garantie ne peut être exigée (Veuillet, in Abbet/Veuillet, La mainlevée d’opposition, n. 233 ad art. 82 LP et les réf. cit.). Il faut se référer au contrat et aux conditions de dénonciation fixées pour déterminer si la créance causale est exigible (Denys, Cédule hypothé-caire et mainlevée, in JdT 2008 II 3 ss, n. 9.3, p. 15-16). ac) Dans la pratique bancaire, le prêt en espèces (Darlehen) est appelé avance fixe (fester Vorschuss) ou crédit ferme (Festkredit). Ce prêt peut être assorti de différentes garanties. On parle de crédit hypothécaire lorsque le prêt est garanti par des sûretés immobilières (Schärer/Maurenbrecher, Commentaire bâlois, 6e éd. 2015, n. 25 ad art. 312 CO [Code des obligations du 30 mars 1911 ; RS 220]). Ce prêt est soumis aux règles des art. 312 à 318 CO (TF 4A_69/2018 du 12 février 2019, consid. 4.1.1 et les réf. cit.).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 impératif, met l'accent sur la liberté des parties, y compris celle de ne rien prévoir dans leur contrat (Bovet/Richa, op. cit., n. 3 ad art. 318 CO). b) En l’espèce, les parties ont signé, le 18 juin 2015, une offre émise par la poursuivante en faveur de [...] et V.________, portant sur le financement de la parcelle n° [...] de la commune d'Ollon, faisant référence aux Conditions applicables aux prêts hypothécaires à taux fixe [...]. Cette offre réservait la conclusion définitive du contrat de prêt, laquelle est intervenue le 23 juin 2015. Ainsi, la relation de base qui lie les parties est le contrat de prêt hypothécaire à taux fixe n° [...] signé par la</w:t>
      </w:r>
    </w:p>
    <w:p>
      <w:r>
        <w:t>- 12 - poursuivie et son époux le 23 juin 2015. Ce contrat porte sur un montant de 864’000 fr. et prévoit un taux d’intérêt de 2.26% l’an pour une durée de dix ans. S'y appliquent les Conditions générales, édition 2015, et les Dispositions particulières en matière de financement hypothécaire de la banque, qui y sont annexées et expressément mentionnées comme faisant partie intégrante du contrat, étant précisé que celui-ci ne fait aucune référence aux Conditions applicables aux prêts hypothécaires à taux fixe [...] mentionnées précédemment dans l'offre du 18 juin 2015. Le montant prêté a été versé à la recourante et à son époux le 29 juin 2015. Le contrat a été modifié le 24 décembre 2015 pour permettre l’introduction d’un amortissement différé par le nantissement de deux polices d’assurance-vie aux noms de [...] et V.________. Les Conditions générales, édition janvier 2015, de la [...] stipulent notamment que le client comme la banque ont le droit de dénoncer leurs relations d’affaires en tout temps. Sont toutefois réservés les conventions particulières de même que les règlements spéciaux applicables à certaines catégories d’affaires (préambule). L’art. 3 des Dispositions particulières en matière de financement hypo-thécaire contient précisément des règles spécifiques en matière de résiliation. Sous une rubrique intitulée "dénonciation ordinaire", cet article précise que le prêt hypothécaire, ainsi que l’éventuelle convention de taux assortie, ne peuvent être dénoncés au remboursement ordinaire qu’aux mêmes conditions que la créance incorporée dans le titre hypothécaire remise en couverture, soit en règle générale moyennant le respect d’un délai de six mois. Il indique par ailleurs que lorsqu’une convention de taux fixe est assortie au prêt hypothécaire, le rembourse-ment ne peut en outre intervenir au plus tôt que pour le jour de l’expiration de la durée du taux fixe. Les Conditions spéciales relatives aux sûretés hypothécaires constituées afin de garantie – applicable en l’espèce à la cédule hypothécaire remise à l’intimée en propriété à titre fiduciaire aux fins de garantie – prévoient elles aussi un délai ordinaire de dénonciation de six mois. Il résulte de ce qui précède que la résiliation ordinaire du contrat de prêt hypothécaire du 23 juin 2015 ne pouvait avoir lieu que moyennant un</w:t>
      </w:r>
    </w:p>
    <w:p>
      <w:r>
        <w:t>- 13 - délai de préavis de six mois et pour le 23 juin 2025 au plus tôt, date d’expiration du taux fixe. Sous une rubrique distincte intitulée "remboursement anticipé", l’article susmentionné indique qu’un remboursement anticipé du prêt hypothécaire est possible sur demande de la banque (une modification à la hausse des conditions de taux sur les marchés financiers ne pouvant justifier à elle seule une telle demande) ou sur demande du client, moyennant le paiement d’une participation aux frais administratifs de la banque engendrés par cette opération, conformément au tarif qu’elle édicte, et d’une indemnité de remboursement anticipé. Cette rubrique ne renvoie pas aux conditions de résiliation extraordinaire prévues pour la créance abstraite dans les Conditions spéciales relatives aux sûretés hypothécaires constituées afin de garantie de la banque. Elle ne prévoit par ailleurs pas de motifs spécifiques susceptible de justifier une demande de remboursement anticipé de la part de l’un ou l’autre des cocontractants. Quant à ceux indiqués sous la rubrique suivante, qui s’intitule "indemnités de remboursement anticipé", ils ne concernent pas les conditions d’une résiliation extraordinaire mais les conditions et modalités auxquelles la banque peut réclamer une indemnité au client en cas de remboursement anticipé. Telle que rédigée, cette disposition paraît donc autoriser la banque à exiger le remboursement du prêt hypothécaire en tout temps et sans motifs particuliers. On ne peut toutefois pas concevoir que les parties aient simultanément prévu que le contrat de prêt ne pourrait être résilié que pour l’échéance du taux fixe moyennant un délai de préavis de six mois, d’une part, et en tout temps sans motifs particuliers, d’autre part. Il est ainsi vraisemblable qu’en adoptant la réglementation prévue sous la rubrique "remboursement anticipé", les parties ont en réalité voulu se réserver la possibilité de résilier le contrat pour des justes motifs telle qu’elle existe pour tous les contrats de durée (ATF 128 III 428 consid. 4, JdT 2005 I 284). Cela étant, il est établi que l’intimée a résilié le contrat de prêt par courrier recommandé du 10 janvier 2018 pour le 31 juillet 2018, soit sans respecter le délai et l’échéance de résiliation ordinaires. Il convient</w:t>
      </w:r>
    </w:p>
    <w:p>
      <w:r>
        <w:t>- 14 - dès lors d’examiner si la banque pouvait se prévaloir de justes motifs de résiliation anticipée, ce qui revient à déterminer si on peut considérer qu’après un changement de circonstances, le maintien du contrat était devenu insupportable pour l’intimée, que ce soit pour des raisons économiques ou pour des raisons personnelles (Tercier/Pichonnaz, Le droit des obligations, 5e éd., n. 2563 ; Bovet/Richa, in Thevenoz/Werro éd., Commentaire romand, Code des obligations I, 2e éd., n. 5 ad art. 318 CO). À cet égard, s’il n’est pas contestable que la recourante et son époux ont parfois eu du retard dans le paiement des échéances trimestrielles du prêt hypothécaire ainsi que pour le règlement des primes mensuelles de la police d’assurance-vie remise en nantissement, il ressort également des pièces produites – et l’intimée l’admet – que ces montants ont finalement toujours pu être réglés en y incluant les frais et intérêts de retard. Il ne ressort pas du dossier que la recourante ferait l’objet de poursuites. Cette dernière a par ailleurs établi que la Banque [...] était prête à reprendre l’emprunt contracté auprès de l’intimée, ce qui suffit à rendre sa solvabilité plus que plausible. Il découle de ce qui précède que l’intimée ne disposait vraisemblable-ment pas de justes motifs l’autorisant à résilier le contrat de prêt qui la liait à la recourante sans respecter le délai et l’échéance de résiliation ordinaires et que, partant, la créance découlant du contrat de base n’était pas exigible lors de la notification du commandement de payer. Il s’ensuit que la recourante rend vraisemblable son moyen libératoire et que la mainlevée provisoire ne devait pas être prononcée. III. Au vu de ce qui précède, le recours est admis, dans la mesure où il est recevable, et le prononcé entrepris réformé en ce sens que l’opposition formée par la recourante au commandement de payer n° 8'902'587 de l'Office des poursuites du district d’Aigle est maintenue. Les frais judiciaires de première instance, arrêtés à 990 fr., sont mis à la charge de la poursuivante. Les dépens de première instance,</w:t>
      </w:r>
    </w:p>
    <w:p>
      <w:r>
        <w:t>- 15 - à la charge de cette dernière, sont fixés 5'000 fr., compte tenu de la valeur litigieuse de 865'000 fr. (art. 6 TDC [tarif du 23 novembre 2010 des dépens en matière civile ; BLV 270.11.6]), et réduit à 2'500 fr., du fait que le conseil de la poursuivie a agi dans le cadre d'une procédure parallèle opposant l'époux de sa cliente à la [...] (art. 20 al. 2 TDC ; CPF 9 décembre 2016/376 et 377 ; CPF 7 juillet 2016/217 et 218). Les frais judiciaires de deuxième instance, arrêtés à 1'500 fr., sont mis à la charge de l’intimée (art. 106 al. 1 CPC), qui devra rembourser ce montant à la recourante qui en a fait l'avance. Elle devra en outre lui verser des dépens fixés à 3'000 fr., compte tenu de la valeur litigieuse de 861'300 francs (art. 8 TDC), et ramenés à 1'500 fr., pour les mêmes motifs que ci-dessus (art.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