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KC18.054999 vom 13. Juni 2019</w:t>
      </w:r>
    </w:p>
    <w:p>
      <w:r>
        <w:t>VD Tribunal cantonal, 2019-06-13, FR</w:t>
      </w:r>
    </w:p>
    <w:p>
      <w:r>
        <w:rPr>
          <w:b/>
        </w:rPr>
        <w:t xml:space="preserve">Quelle: </w:t>
      </w:r>
      <w:r>
        <w:t>https://mcp.opencaselaw.ch/entscheid/vd_gerichte_KC18.054999</w:t>
      </w:r>
    </w:p>
    <w:p>
      <w:r>
        <w:t>FR: VD_GERICHTE KC18.054999 du 13 juin 2019</w:t>
      </w:r>
    </w:p>
    <w:p>
      <w:r>
        <w:t>IT: VD_GERICHTE KC18.054999 del 13 giugno 2019</w:t>
      </w:r>
    </w:p>
    <w:p>
      <w:pPr>
        <w:pStyle w:val="Heading2"/>
      </w:pPr>
      <w:r>
        <w:t>Erwägungen</w:t>
      </w:r>
    </w:p>
    <w:p>
      <w:r>
        <w:rPr>
          <w:b/>
        </w:rPr>
        <w:t>E. 1</w:t>
      </w:r>
    </w:p>
    <w:p>
      <w:r>
        <w:t>Le 7 décembre 2018, à la réquisition de B.G.________, l’Office des poursuites du district de Nyon a notifié à A.G.________, dans la poursuite n° 8'963'832, un commandement de payer les sommes de 1) 9'350 fr. avec intérêt à 5 % l’an dès le 1er décembre 2018, de 2) 9'350 fr. avec intérêt à 5 % l’an dès le 1er novembre 2018, de 3) 494 fr. avec intérêt à 5 % l’an dès le 1er octobre 2018 et de 4) 2'000 fr. avec intérêt à 5 % l’an dès le 18 octobre 2018, indiquant comme titre de la créance ou cause de l’obligation : « 1. Non-paiement de la pension (Fr. 6'600.- et Fr. 2'520.- + Allocations familiales par Fr. 230.-) : Décembre 2018</w:t>
      </w:r>
    </w:p>
    <w:p>
      <w:r>
        <w:rPr>
          <w:b/>
        </w:rPr>
        <w:t>E. 2</w:t>
      </w:r>
    </w:p>
    <w:p>
      <w:r>
        <w:t>Novembre 2018</w:t>
      </w:r>
    </w:p>
    <w:p>
      <w:r>
        <w:rPr>
          <w:b/>
        </w:rPr>
        <w:t>E. 3</w:t>
      </w:r>
    </w:p>
    <w:p>
      <w:r>
        <w:t>Manco pension octobre 2018 (Fr. 264.- plus Fr. 230.-)</w:t>
      </w:r>
    </w:p>
    <w:p>
      <w:r>
        <w:rPr>
          <w:b/>
        </w:rPr>
        <w:t>E. 4</w:t>
      </w:r>
    </w:p>
    <w:p>
      <w:r>
        <w:t>Par acte du 13 mai 2019, le poursuivi a recouru contre ce prononcé en concluant, avec suite de frais et dépens, principalement, à sa réforme en ce sens que la requête de mainlevée est rejetée, et subsidiairement à son annulation et au renvoi de la cause au premier juge. Le 24 mai 2019, le recourant a produit une pièce et a suggéré que la procédure de recours soit suspendue jusqu’à ce qu’une décision définitive et exécutoire statue sur les mesures provisionnelles. Par courrier du 28 mai 2019, la présidente de la cour de céans a informé le poursuivi que les pièces nouvelles n’étaient pas admissibles en procédure de recours et l’a avisé qu’en l’état, la Cour des poursuites et faillite n’entendait pas suspendre d’office la procédure de recours, faute de conclusions formelles en ce sens du recourant.</w:t>
      </w:r>
    </w:p>
    <w:p>
      <w:r>
        <w:t>- 10 - Le 7 juin 2019, l’intimée a déposé des déterminations spontanées concluant au rejet de la pièce nouvelle produite le 24 mai 2019 et à la confirmation du prononcé attaqué. Le 14 juin 2019, le recourant a produit deux pièces nouvelles et a requis la suspension de la procédure jusqu’à droit connu sur la procédure d’appel qu’il avait introduite. Par courrier du 18 juin 2019, la présidente de la cour de céans a informé le recourant que la Cour des poursuites et faillite avait statué le 13 juin 2019 sur le recours, ce qui rendait sans objet la requête de suspension. En d roit : I. a) La demande de motivation et le recours ont été déposés dans les délais de dix jours des art. 239 al. 2 et 321 al. 2 CPC (Code de procédure civile du 19 décembre 2008 ; RS 272). Motivé conformément à l’art. 321 al. 1 CPC, le recours est recevable.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 CPF 29 mars 2018/39 ; CPF 17 novembre 2017/271 ; CPF 13 août 2014/295 ; CPF 12 novembre 2013/445 ; CPF 27 décembre 2012/487).</w:t>
      </w:r>
    </w:p>
    <w:p>
      <w:r>
        <w:t>- 11 - Des nova sont recevables lorsqu'ils résultent de la décision de l'autorité précédente (cf. art. 99 LTF;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 dire de véritables nova (ATF 139 III 120 c. 5.1.2 ad art. 99 LTF [loi du 17 juin 2005 sur le Tribunal fédéral ; RS 173.110]). bb) En l’espèce, le recourant a produit le 24 mai 2019 une copie d’une ordonnance de mesures provisionnelles du 22 mai 2019 et, le 29 juin 2019, une copie de l’appel qu’il a interjeté contre cette ordonnance. Ces pièces sont postérieures au prononcé attaqué et constituent de vrais nova, de sorte qu’elles sont irrecevables même dans le cas de l’exception réservée par l’ATF 139 III 466, vu la jurisprudence susmentionnée. Au demeurant ces pièces n’ont pas trait à la procédure conduite devant l’autorité précédente, mais bien à une décision de celle- ci, savoir le rejet des requêtes en report de l’audience et en suspension de la procédure. Les conditions de l’exception prévue à l’art. 99 LTF se sont donc pas réalisées et les pièces nouvelles produites par le recourant en deuxième instance doivent être déclarées irrecevables. II. Le recourant soutient que la procédure devait être suspendue, dès lors que les contributions en poursuite étaient discutées dans la procédure de mesures provisionnelles qu’il avait ouverte le 15 novembre 2018 et que les décisions sur lesquelles le premier juge s’est fondé pour admettre la mainlevée ne sont pas définitives et n’ont pas de force exécutoire, vu la procédure provisionnelle en cours. a)aa) Aux termes de l'art. 80 al. 1 LP (loi fédérale du 11 avril 1889 sur la poursuite pour dettes et la faillite ; RS 281.1), le créancier qui</w:t>
      </w:r>
    </w:p>
    <w:p>
      <w:r>
        <w:t>- 12 - est au bénéfice d'un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bb) Parmi les moyens libératoires qui remettent en cause l'existence ou l'exigibilité de la créance déduite en poursuite (art. 81 al. 1 LP) figure la modification du jugement sur lequel le poursuivant se fonde pour requérir la mainlevée définitive de l'opposition (TF 5A_419/2009 du 15 septembre 2009 consid. 7.3.1 et les références citées). Ainsi, en cas de mesures protectrices ou provisionnelles modifiées par une décision ultérieure, ou prenant fin lors du prononcé du jugement de divorce, ou de mesures superprovisionnelles, immédiatement exécutoires, remplacées par des mesures provisionnelles, la première décision constitue un titre à la mainlevée définitive tant qu’elle n’a pas été modifiée par une autre</w:t>
      </w:r>
    </w:p>
    <w:p>
      <w:r>
        <w:t>- 13 - décision entrée en force de chose jugée (TF 5A_217/2012 du 9 juillet 2012, consid. 5.1 ; Abbet, op. cit. n. 52 ad art. 80 LP, pp. 30 s. et les réf. cit.) ; c’est au débiteur d’établir qu’une décision exécutoire a, par la suite, été modifiée par une autre décision entrée en force (Abbet, op. cit., n. 74 ad art. 80 LP, p. 36 et les réf. cit.). b)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8 juin 2017/145 ; CPF 31 décembre 2014/425 ; CPF 24 mars 2014/104). Le Tribunal fédéral a jugé qu’il n’était pas arbitraire de retenir qu’une suspension de la procédure de mainlevée définitive ne se justifiait pas, d’une part faute de risque de contrariété avec la décision qui serait rendue au terme d’un procès en modification du jugement de divorce pendant, et, d’autre part, compte tenu de la nature particulière de la procédure de mainlevée définitive qui a pour objet de statuer, sans force de chose jugée, sur la seule force exécutoire du titre produit par le poursuivant et non sur la réalité de la prétention en poursuite (TF 5A_311/2012 du 15 mai 2013 consid. 3.2, Revue suisse de procédure civile [RSPC] 2013 p. 392). c) En l’espèce, l’intimée a produit en première instance un prononcé de mesures protectrices de l’union conjugale de la Présidente du Tribunal civil de l’arrondissement de l’Est vaudois du 16 mars 2015, attesté le 18 décembre 2018 définitif et exécutoire dès le 25 mai 2015, astreignant le recourant à contribuer à l’entretien de l’enfant C.G.________ par le versement en mains de l’intimée d’une contribution mensuelle de 2'520 fr., allocations familiales en sus, dès le 1er juillet 2014. Ce prononcé vaut titre à la mainlevée définitive pour la pension en faveur de l’enfant.</w:t>
      </w:r>
    </w:p>
    <w:p>
      <w:r>
        <w:t>- 14 - L’intimée a également produit une transaction signée par les parties à l’audience du Juge délégué de la Cour d’appel civile du 22 novembre 2016 et ratifiée par ce magistrat pour valoir arrêt sur appel, prévoyant que, dès le 1er juillet 2017, le recourant contribuerait à l’entretien de l’intimée par une pension mensuelle de 6'600 francs par mois, compte tenu d’un revenu hypothétique de 3'800 fr. net par mois, tout montant supplémentaire jusqu’à un salaire mensuel net de 7'000 fr. restant acquis à l’intimée. Cette transaction avait les effets d’une décision entrée en force (art. 208 al. 2 et 241 al. 2 CPC) et ne pouvait faire l’objet d’un recours. Elle constitue donc un titre à la mainlevée définitive pour la contribution d’entretien en faveur de l’intimée. Le recourant n’a produit en première instance aucune décision entrée en force modifiant ces contributions d’entretien. Au vu des considérations développées sous chiffre IIa)bb) ci-dessus, la production de la requête de mesures provisionnelles du 15 novembre 2018 et du procès- verbal de l’audience du 28 janvier 2019 n’était pas suffisante pour ôter au prononcé et à la transaction susmentionnés le caractère de titre à la mainlevée définitive et ne justifiait pas, vu la jurisprudence mentionnée au chiffre IIb ci-dessus, la suspension de la procédure de mainlevée jusqu’à droit connu sur dite requête de mesures provisionnelles. L’intimée a enfin produit une ordonnance de mesures provisionnelles rendue le 18 octobre 2018 par la Présidente du Tribunal civil de l’arrondissement de l’Est vaudois disant notamment que le recourant devait à l’intimée la somme de 2'000 francs à titre de dépens, ainsi qu’un arrêt de la Cour d’appel civile du Tribunal cantonal rejetant le recours de A.G.________ contre l’ordonnance du 18 octobre 2018 et déclarant l’arrêt exécutoire. L’ordonnance du 18 octobre 2018 constitue donc un titre à la mainlevée définitive pour le montant de 2'000 francs. Le recours doit être rejeté sur ce point.</w:t>
      </w:r>
    </w:p>
    <w:p>
      <w:r>
        <w:t>- 15 - III. Le recourant fait grief au premier juge de n’avoir pas pris en compte les montants opposés en compensation résultant des pièces produites à l’audience. 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Par extinction de la dette au sens de l’art. 81 al. 1 LP, la loi ne vise pas seulement le paiement, mais aussi toute autre cause de droit civil, en particulier la compensation (ATF 136 III 624 consid. 4.2.1 ; ATF 124 III 501 consid. 3b et les références citées, JdT 1999 II 136).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w:t>
      </w:r>
    </w:p>
    <w:p>
      <w:r>
        <w:t>- 16 -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 dire des titres parfaitement clairs (ATF 140 III 372 consid. 3.1 et les réf. cit., JdT 2015 II 331 ; ATF 115 III 97 consid. 4 précité et les réf. cit., JdT 1991 II 47). La compensation ne peut être retenue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op. cit.,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CPF 29 décembre 2017/315).</w:t>
      </w:r>
    </w:p>
    <w:p>
      <w:r>
        <w:t>- 17 - b)aa) En l’espèce, le recourant a produit en première instance six « détails de la transaction » attestant de virements de son compte bancaire de 2'520 francs le 28 septembre 2018, de 6'336 fr. le 1er octobre 2018, de 2'520 fr. le 31 octobre 2018 et le 30 novembre 2018, de 500 fr. le 20 décembre 2018 et de 2'750 francs le 7 janvier 2019. Toutefois, ces documents ne mentionnent pas que l’intimée était la destinataire de ces virements. Les mentions figurant dans la rubrique « Détails » de ces documents, qui contiennent le commentaire accompagnant les virements, ne permettent pas de lever cette incertitude. Le recourant échoue donc dans la preuve qu’il a versé à l’intimée les montants en cause. D’ailleurs, dans le commandement de payer en cause, l’intimée a tenu compte des virements, et contrairement à ce qu’il soutient, de 6'336 fr. et de 2'520 fr. du mois d’octobre 2018, puisqu’elle ne demande, pour ce mois qu’un solde de 494 fr. (9'350 – 6'336 – 2'520). Dans la mesure où le recourant aurait versé la pension en faveur de l’enfant directement en mains de celui-ci, ce qui n’est au demeurant pas établi par pièces, ces paiements n’auraient aucun effet libératoire, l’intimée étant titulaire de la créance en vertu du prononcé de mesures protectrices de l’union conjugale du 16 mars 2015 et l’enfant n’étant pas majeur à l’époque où les contribution sont réclamées. bb) Pour le surplus, le recourant n’a produit aucun titre à la mainlevée définitive ni reconnaissance de dette de l’intimée, de sorte que les avis de virements et factures produits ne sauraient justifier une diminution du montant sur lequel porte la mainlevée au titre de la compensation, vu la jurisprudence susmentionnée. Le recours doit être rejeté sur ce point. IV. En conclusion, le recours, manifestement mal fondé, doit être rejeté et le prononcé confirmé.</w:t>
      </w:r>
    </w:p>
    <w:p>
      <w:r>
        <w:t>- 18 - Vu le rejet du recours, les frais judiciaires de deuxième instance, arrêtés à 570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