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KC18.048538 vom 15. Mai 2019</w:t>
      </w:r>
    </w:p>
    <w:p>
      <w:r>
        <w:t>VD Tribunal cantonal, 2019-05-15, FR</w:t>
      </w:r>
    </w:p>
    <w:p>
      <w:r>
        <w:rPr>
          <w:b/>
        </w:rPr>
        <w:t xml:space="preserve">Quelle: </w:t>
      </w:r>
      <w:r>
        <w:t>https://mcp.opencaselaw.ch/entscheid/vd_gerichte_KC18.048538</w:t>
      </w:r>
    </w:p>
    <w:p>
      <w:r>
        <w:t>FR: VD_GERICHTE KC18.048538 du 15 mai 2019</w:t>
      </w:r>
    </w:p>
    <w:p>
      <w:r>
        <w:t>IT: VD_GERICHTE KC18.048538 del 15 maggio 2019</w:t>
      </w:r>
    </w:p>
    <w:p>
      <w:pPr>
        <w:pStyle w:val="Heading2"/>
      </w:pPr>
      <w:r>
        <w:t>Volltext</w:t>
      </w:r>
    </w:p>
    <w:p>
      <w:r>
        <w:t>TRIBUNAL CANTONAL KC18.048538-190578 103 CO UR DE S P OURSUITES ET FAILL ITES ________________________________________________ Arrêt du 15 mai 2019 _________________ Composition :Mme BYRDE, présidente M. Colombini et Mme Rouleau, juges Greffier : M. Elsig ***** Art. 321 al. 1 CPC Vu le prononcé non motivé rendu le 9 janvier 2019, à la suite de l’interpellation du poursuivi, par le Juge de paix du district de Lausanne, notifié au poursuivi le 23 janvier 2019, prononçant la mainlevée provisoire de l’opposition formée par A.M.________, à [...], à la poursuite n° 8'894'979 de l’Office des poursuites du district de Lausanne exercée par ETAT DE VAUD, représenté par le Service juridique et législatif, Secteur recouvrement CHUV, à Lausanne, fixant les frais judiciaires à 90 fr., les mettant à la charge du poursuivi et disant qu’en conséquence, celui-ci rembourserait au poursuivant son avance de frais, par 90 fr., sans allocation de dépens pour le surplus, 111</w:t>
      </w:r>
    </w:p>
    <w:p>
      <w:r>
        <w:t>- 2 - vu l’écriture du 4 février 2019 de B.M.________, beau-frère du poursuivi, au premier juge, vu les motifs du prononcé adressés aux parties le 21 mars 2019 et notifiés au poursuivi le lendemain,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 qu’en l’espèce, le dispositif du prononcé a été notifié au recourant le 23 janvier 2019, que l’écriture du beau-frère du recourant du 4 février 2019, valant demande de motivation et recours, a été déposée en temps utile, compte tenu du fait que le délai de demande de motivation, arrivé à</w:t>
      </w:r>
    </w:p>
    <w:p>
      <w:r>
        <w:t>- 3 - échéance le samedi 2 février 2019, a été reporté au lundi 4 février 2019 en application de l’art. 142 al. 3 CPC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beau-frère du poursuivi expose que celui-ci est à l’aide sociale depuis de nombreuses années, donc sans ressources, que lui-même ne veut pas payer la somme litigieuse, n’étant pas concerné par cette facture, et qu’il ne comprend pas pourquoi l’intimé a ouvert une nouvelle procédure,</w:t>
      </w:r>
    </w:p>
    <w:p>
      <w:r>
        <w:t>- 4 - que ce faisant, il ne remet pas en cause la motivation du prononcé attaqué selon laquelle l’acte de défaut de biens délivré à l’intimé le 6 avril 1999 constituait un titre à la mainlevée provisoire et la créance y figurant n’était pas prescrite, que l’écriture du 4 février 2019, considérée comme un recours, ne remplit pas les exigences de motivation découlant de l’art. 321 al. 1 CPC et de la jurisprudence susmentionnée, que le recourant n’a pas déposé d’autre écriture dans le délai de recours, que le recours est ainsi irrecevable, que, compte tenu de ce qui précède, il n’est pas utile de fixer un délai à B.M.________ pour justifier de son pouvoir de représenter A.M.________, ou éventuellement de faire ratifier le recours par celui-ci ; attendu qu’à supposer recevable, le recours aurait dû être rejeté, qu’en effet la situation financière du poursuivi n’est pas déterminante dans l’examen de l’octroi ou non de la mainlevée provisoire d’opposition, l’art. 82 LP (loi fédérale du 11 avril 1889 sur la poursuite pour dette et la faillite ; RS 281.1) prévoyant que celle-ci est accordée si le poursuivant est au bénéfice d’une reconnaissance de dette – l’acte de défaut de bien après saisie en constituant une (art. 149 al. 2 LP) – et si le poursuivi ne rend pas vraisemblable sa libération, que l’examen de la situation financière du poursuivi n’intervient que dans l’étape suivante de la poursuite, savoir l’avis de saisie, l’absence de toutes ressources ou de fortune saisissables donnant lieu à la délivrance au poursuivant d’un acte de défaut de biens,</w:t>
      </w:r>
    </w:p>
    <w:p>
      <w:r>
        <w:t>- 5 - que la saisie ne peut porter que sur les biens du poursuivi, à l’exclusion de ceux de ses proches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B.M.________ (pour A.M.________), - Service juridique et législatif, Secteur recouvrement CHUV (pour Etat de Vaud). La Cour des poursuites et faillites considère que la valeur litigieuse est de 393 fr. 70.</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