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KC18.046071 vom 9. Mai 2019</w:t>
      </w:r>
    </w:p>
    <w:p>
      <w:r>
        <w:t>VD Tribunal cantonal, 2019-05-09, FR</w:t>
      </w:r>
    </w:p>
    <w:p>
      <w:r>
        <w:rPr>
          <w:b/>
        </w:rPr>
        <w:t xml:space="preserve">Quelle: </w:t>
      </w:r>
      <w:r>
        <w:t>https://mcp.opencaselaw.ch/entscheid/vd_gerichte_KC18.046071</w:t>
      </w:r>
    </w:p>
    <w:p>
      <w:r>
        <w:t>FR: VD_GERICHTE KC18.046071 du 9 mai 2019</w:t>
      </w:r>
    </w:p>
    <w:p>
      <w:r>
        <w:t>IT: VD_GERICHTE KC18.046071 del 9 maggio 2019</w:t>
      </w:r>
    </w:p>
    <w:p>
      <w:pPr>
        <w:pStyle w:val="Heading2"/>
      </w:pPr>
      <w:r>
        <w:t>Volltext</w:t>
      </w:r>
    </w:p>
    <w:p>
      <w:r>
        <w:t>TRIBUNAL CANTONAL KC18.046071-190490 47 CO UR DE S P OURSUITES ET FAILL ITES ________________________________________________ Arrêt du 9 mai 2019 __________________ Composition :Mme BYRDE, présidente MM. Colombini et Maillard, juges Greffier : Mme Debétaz Ponnaz ***** Art. 144 al. 1 et 321 al. 1 CPC Vu le prononcé rendu le 8 janvier 2019, à la suite de l’audience du même jour, et adressé aux parties le 22 janvier 2019 par la Juge de paix du district de Lausanne, rejetant la requête de mainlevée d’opposition déposée le 23 octobre 2018 par Z.________, à [...], dans la poursuite n° 8'471'263 de l’Office des poursuites du district de Lausanne exercée à son instance contre l’ETAT DE VAUD, arrêtant à 660 fr. les frais judiciaires, compensés avec l’avance de frais de la poursuivante, les mettant à la charge de cette dernière et n’allouant pas de dépens, vu la lettre adressée le 28 janvier 2019 à la juge de paix par la poursuivante, déclarant « rejeter » la décision de ne pas lui accorder la 111</w:t>
      </w:r>
    </w:p>
    <w:p>
      <w:r>
        <w:t>- 2 - mainlevée, lettre que la juge a considérée comme une demande de motivation, vu les motifs du prononcé adressés aux parties le 13 mars 2019 et notifiés à la poursuivante le 18 mars 2019, vu la lettre adressée le 26 mars 2019 à la juge de paix par la poursuivante, invoquant des problèmes rencontrés avec son nouvel ordinateur et demandant « un délai pour établir un mémoire écrit et motivé », vu l’envoi du dossier par la juge de paix à la cour de céans, autorité de recours, le 1er avril 2019, vu le courrier adressé le 5 avril 2019 par la poursuivante à la cour de céans, contenant deux lettres datées respectivement du 25 mars et du 5 avril 2019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 que le délai de recours de dix jours fixé par l’art. 321 al. 2 CPC est donc un délai légal, et non pas un délai fixé judiciairement, par le juge ou le tribunal, que, conformément à l’art. 144 al. 1 CPC, un délai légal ne peut pas être prolongé, que la partie qui entend user d'une voie de droit a la charge de se conformer à certaines règles de forme, à défaut de quoi sa démarche sera frappée d'irrecevabilité (Jeandin, in Bohnet/Haldy/Jeandin/Schweizer/</w:t>
      </w:r>
    </w:p>
    <w:p>
      <w:r>
        <w:t>- 3 - Tappy (éd.), Code de procédure civile commenté, Bâle 2011, n. 1 ad art. 321 CPC),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5A_106/2016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 recours doit être entièrement contenue dans le mémoire de recours lui-même et ne saurait être complétée ou corrigée ultérieurement (ibid.), du moins pas après l’échéance du délai de recours, que ni l’art. 132 al. 1 et 2, ni l’art. 56 CPC ne sont applicables en cas d’absence de motivation d’un acte de recours (ibid.), qu’en l’espèce, la lettre de Z.________ du 26 mars 2019, déposée en temps utile, ne contient qu’une demande de prolongation du délai de recours, qui ne peut pas être accordée,</w:t>
      </w:r>
    </w:p>
    <w:p>
      <w:r>
        <w:t>- 4 - que, pour le surplus, cet acte ne contient aucun moyen de recours, c’est-à-dire aucun grief contre la décision du premier juge, en particulier contre les considérants de ce magistrat selon lesquels, en substance, la poursuivante n’a produit aucune pièce signée du poursuivi valant reconnaissance de dette et, partant, titre de mainlevée provisoire d’opposition, que les écritures déposées le 5 avril 2019, soit après l’échéance du délai de recours, sont tardives et, par conséquent, irrecevables pour ce motif, qu’à supposer recevables, elles seraient manifestement mal fondées, leur auteur ne faisant valoir aucun grief pertinent contre les considérants topiques du premier juge ; attendu que, en conclusion, le recours est irrecevable,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w:t>
      </w:r>
    </w:p>
    <w:p>
      <w:r>
        <w:t>- 5 - Du L'arrêt qui précède, dont la rédaction a été approuvée à huis clos, est notifié, par l'envoi de photocopies, à : - Mme Z.________, - Etat de Vaud, Service juridique et législatif. La Cour des poursuites et faillites considère que la valeur litigieuse est de 481’977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