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KC18.042756 vom 15. März 2019</w:t>
      </w:r>
    </w:p>
    <w:p>
      <w:r>
        <w:t>VD Tribunal cantonal, 2019-03-15, FR</w:t>
      </w:r>
    </w:p>
    <w:p>
      <w:r>
        <w:rPr>
          <w:b/>
        </w:rPr>
        <w:t xml:space="preserve">Quelle: </w:t>
      </w:r>
      <w:r>
        <w:t>https://mcp.opencaselaw.ch/entscheid/vd_gerichte_KC18.042756</w:t>
      </w:r>
    </w:p>
    <w:p>
      <w:r>
        <w:t>FR: VD_GERICHTE KC18.042756 du 15 mars 2019</w:t>
      </w:r>
    </w:p>
    <w:p>
      <w:r>
        <w:t>IT: VD_GERICHTE KC18.042756 del 15 marzo 2019</w:t>
      </w:r>
    </w:p>
    <w:p>
      <w:pPr>
        <w:pStyle w:val="Heading2"/>
      </w:pPr>
      <w:r>
        <w:t>Volltext</w:t>
      </w:r>
    </w:p>
    <w:p>
      <w:r>
        <w:t>TRIBUNAL CANTONAL KC18.042756-190017 34 CO UR DE S P OURSUITES ET FAILL ITES ________________________________________________ Arrêt du 15 mars 2019 __________________ Composition :Mme BYRDE, présidente Mme Rouleau et M. Maillard, juges Greffière : Mme Umulisa Musaby ***** Art. 29 al. 2 Cst. ; 84 al. 2 LP ; 136 let. c, 138 et 253 CPC La Cour des poursuites et faillites du Tribunal cantonal, statuant à huis clos en sa qualité d'autorité de recours en matière sommaire de poursuites, s'occupe du recours exercé par I.________, à Clarens, contre le prononcé rendu le 13 novembre 2018 par la Juge de paix du district de la Riviera-Pays d’Enhaut, dans la poursuite n° 8821688 de l’Office des poursuites du même district exercée à l’instance de la L.________, représentée par l’Office d’impôt des personnes morales, à Yverdon-les-bains. Vu les pièces au dossier, la cour considère : 109</w:t>
      </w:r>
    </w:p>
    <w:p>
      <w:r>
        <w:t>- 2 - En fait : 1. a) Le 3 septembre 2018, à la réquisition de la Confédération suisse, représentée par l’Office d’impôt des personnes morales (ci-après : la Confédération Suisse), l'Office des poursuites du district de la Riviera- Pays d’Enhaut a notifié à I.________, dans la poursuite n° 8821688, un commandement de payer le montant de 1'000 fr., plus intérêts à 3% l’an dès 23 février 2016, indiquant comme titre de la créance ou cause de l'obligation : « Amende d’ordre défaut DI IFD 2014 (Confédération Suisse) selon décision de taxation du 13.01.2016 et du décompte final du 16.01.2016 ; sommation adressée le 18.03.2016 ». La poursuivie a formé opposition totale. b) Le 5 octobre 2018, la Confédération Suisse a requis du Juge de paix du district de la Riviera-Pays d’Enhaut la mainlevée définitive de l’opposition à concurrence du montant en capital et intérêts susmentionné. A l’appui de sa requête, elle a produit six pièces sous bordereau, dont l’original du commandement de payer, une copie de l’invitation/sommation à déposer la déclaration d’impôt fédéral direct 2014 du 21 mai 2015, une copie du prononcé d’amende pour défaut de déclaration 2014 du 13 janvier 2016, une copie du décompte final du 16 janvier 2016, ainsi qu’un relevé de compte daté du 1er octobre 2018 relatif à l’amende d’ordre pour défaut de déclaration d’impôt IFD 2014. c) Par courrier recommandé du 8 octobre 2018, la juge de paix a adressé la requête à la poursuivie et lui a fixé un délai au 7 novembre 2018 pour se déterminer et déposer toute pièce utile à établir les éléments qu’elle invoquerait. Le pli destiné à la poursuivie est venu en retour au greffe avec la mention « non réclamé » le 22 octobre 2018. 2. Par prononcé du 13 novembre 2018, la Juge de paix du district de la Riviera-Pays d’Enhaut a prononcé la mainlevée définitive de</w:t>
      </w:r>
    </w:p>
    <w:p>
      <w:r>
        <w:t>- 3 - l’opposition (I), a arrêté à 120 fr. les frais judiciaires, compensés avec l’avance de frais de la partie poursuivante (II), a mis les frais à la charge de la partie poursuivie (III) et a dit que celle-ci rembourserait à la partie poursuivante son avance de frais à concurrence de 120 fr., sans allocation de dépens pour le surplus (IV). Ce dispositif a été notifié le 13 novembre 2018 à la poursuivie, qui en a demandé la motivation par lettre du 26 novembre 2018. Les motifs du prononcé ont été notifiés le 20 décembre 2018 à la poursuivie. La juge de paix a considéré en bref que la partie poursuivante avait produit des décisions fiscales (le prononcé d’amende et le décompte final), indiquant le montant réclamé en poursuite et valant titre de mainlevée définitive, sans que la partie poursuivie n’ait invoqué un moyen libératoire dans le délai fixé au 7 novembre 2018 pour se déterminer. 3. Par acte remis à la poste le 28 décembre 2018, la poursuivie a recouru contre le prononcé précité en concluant, implicitement, à son annulation faute d’avoir reçu le courrier recommandé du 8 octobre 2018, subsidiairement à sa réforme en ce sens que la requête de mainlevée est rejetée. L’intimée s’est déterminée le 30 janvier 2019. En d roit : I. Le recours a été déposé dans les formes requises, par acte écrit et motivé, et en temps utile, dans le délai de dix jours suivant la notification de la décision motivée (art. 321 al. 1 et 2 CPC [Code de procédure civile ; RS 272]). Il est ainsi recevable. Il en va de même de la réponse de l’intimée (art. 322 CPC).</w:t>
      </w:r>
    </w:p>
    <w:p>
      <w:r>
        <w:t>- 4 - II. La recourante se prévaut d’une violation de son droit d’être entendu. a)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 6 § 1 CEDH [Convention européenne de sauvegarde des droits de l'homme et des libertés fondamentales ; RS 0.101] (Haldy, in Bohnet et al. (éd.), Commentaire romand, Code de procédure civile [ci-après : CR, CPC], 2ème éd., nn. 1 à 5 ad art. 53 CPC ; Bohnet, in CR, CPC, n. 2 ad art. 253 CPC ; Klinger, ZPO Kommentar, n. 1 ad art. 253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w:t>
      </w:r>
    </w:p>
    <w:p>
      <w:r>
        <w:t>- 5 - et/ou l’acte introductif d’instance n’ont pas été retirés dans le délai de garde, ils doivent être notifiés à nouveau d’une autre manière contre accusé de réception (art. 138 al. 1 CPC), par exemple par huissier (Bohnet, op. cit., n. 31 ad art. 138 CPC ; CPF 16 février 2018/16 ; CPF 10 avril 2014/145 et les nombreux arrêts cités). Le droit d’être entendu est de nature formelle et sa violation justifie en principe l’annulation de la décision entreprise, sans qu’il soit nécessaire d’examiner si son respect aurait conduit à une décision différente (Haldy, op. cit., n. 19 ad art. 53 CPC). b) En l’espèce, le pli recommandé adressé à la recourante contenant la requête de mainlevée d’opposition et l’avis lui impartissant un délai pour se déterminer a été retourné au greffe avec la mention « non réclamé ». Conformément à la jurisprudence susmentionnée, la fiction de notification à l’échéance du délai de garde ne s’applique pas dans ces circonstances. Il ne ressort pas du dossier que ce pli aurait été à nouveau notifié d’une autre manière contre accusé de réception à sa destinataire, par exemple par huissier. Il s’ensuit que la requête de mainlevée n’a pas été valablement notifiée à la poursuivie. Celle-ci n'a dès lors pas eu la possibilité de prendre connaissance de la requête ni de se déterminer à son sujet, ce qui constitue une violation de son droit d'être entendue. Cette violation entraîne en l’espèce l’annulation du prononcé attaqué. III. Vu ce qui précède, le recours doit être admis, le prononcé annulé et la cause renvoyée au premier juge pour qu’elle fasse notifier l’acte introductif de l’instance de mainlevée d’opposition à la poursuivie, afin qu’elle puisse se déterminer conformément à l’art. 253 CPC. Les frais judiciaires de deuxième instance peuvent être laissés à la charge de l’Etat (art. 107 al. 2 CPC). L’avance de frais effectuée par la recourante, de 180 fr., doit par conséquent lui être restituée. Il n’y a pas lieu d’allouer des dépens de deuxième instance, la recourante ayant procédé seule.</w:t>
      </w:r>
    </w:p>
    <w:p>
      <w:r>
        <w:t>- 6 -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la Riviera-Pays d’Enhaut pour qu’il fasse notifier l’acte introductif d’instance à I.________ et lui fixe un délai pour se déterminer. III. Les frais judiciaires de deuxième instance, arrêtés à 180 fr. (cent huitante francs), sont laissés à la charge de l’Etat. IV. L’avance de frais de 180 fr. (cent huitante francs), effectuée par la recourante, lui est restituée par la caisse du Tribunal cantonal. V. Il n’est pas alloué de dépens de deuxième instance. VI. L'arrêt est exécutoire. La présidente : La greffière :</w:t>
      </w:r>
    </w:p>
    <w:p>
      <w:r>
        <w:t>- 7 - Du L'arrêt qui précède, dont la rédaction a été approuvée à huis clos, est notifié, par l'envoi de photocopies, à : - Mme [...] (pour I.________), - Office d’impôt des personnes morales (pour la Confédération Suisse),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