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KC18.039484 vom 2. Mai 2019</w:t>
      </w:r>
    </w:p>
    <w:p>
      <w:r>
        <w:t>VD Tribunal cantonal, 2019-05-02, FR</w:t>
      </w:r>
    </w:p>
    <w:p>
      <w:r>
        <w:rPr>
          <w:b/>
        </w:rPr>
        <w:t xml:space="preserve">Quelle: </w:t>
      </w:r>
      <w:r>
        <w:t>https://mcp.opencaselaw.ch/entscheid/vd_gerichte_KC18.039484</w:t>
      </w:r>
    </w:p>
    <w:p>
      <w:r>
        <w:t>FR: VD_GERICHTE KC18.039484 du 2 mai 2019</w:t>
      </w:r>
    </w:p>
    <w:p>
      <w:r>
        <w:t>IT: VD_GERICHTE KC18.039484 del 2 maggio 2019</w:t>
      </w:r>
    </w:p>
    <w:p>
      <w:pPr>
        <w:pStyle w:val="Heading2"/>
      </w:pPr>
      <w:r>
        <w:t>Volltext</w:t>
      </w:r>
    </w:p>
    <w:p>
      <w:r>
        <w:t>TRIBUNAL CANTONAL KC18.039484-190371 74 CO UR DE S P OURSUITES ET FAILL ITES ________________________________________________ Arrêt du 2 mai 2019 __________________ Composition :M. MAILLARD, vice-président M. Hack et Mme Rouleau, juges Greffier : Mme Joye ***** Art. 239 al. 2 et 321 al. 1 CPC Vu le prononcé rendu sous forme de dispositif le 1er novembre 2018, à la suite de l’interpellation de la partie poursuivie, par la Juge de paix du district de Lausanne, prononçant, à concurrence de 46 fr. 90 plus intérêt à 5 % l'an dès le 4 mars 2018, la mainlevée définitive de l'opposition formée par G.________, à Lausanne, dans la poursuite n° 8'749'561 de l’Office des poursuites du district de Lausanne exercée contre lui par l'E.________, à Pully, et mettant les frais, par 90 fr., à la charge du poursuivi ; 111</w:t>
      </w:r>
    </w:p>
    <w:p>
      <w:r>
        <w:t>- 2 - vu l’envoi aux parties de ce dispositif le 16 novembre 2018, et sa notification au poursuivi le 27 novembre suivant, vu l'écriture intitulée "Demande de motivation de la décision dans le dispositif concernant le dossier KC18.039484" déposée par G.________ le 3 décembre 2018, dans laquelle le prénommé indique que "le présent recours est interjeté en temps utile" et conclut, en qualité de "recourant", à ce que "lui soit transmis par Madame la Juge les motivations écrites de sa décision" ; vu les motifs du prononcé adressés aux parties le 11 janvier 2019 et notifiés au poursuivi le 6 février 2019, le délai de garde ayant été prolongé à la demande du destinataire, vu la transmission du dossier par la juge de paix à la cour de céans, autorité de recours, le 8 mars 2019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 qu’en l’espèce, l’écriture du 3 décembre 2018, s’il s’agit d’un recours, a été déposé dans le délai de demande de motivation, soit en temps utile ;</w:t>
      </w:r>
    </w:p>
    <w:p>
      <w:r>
        <w:t>- 3 -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selon l'art. 321 al. 1 CPC, le recours doit être motivé, que selon la jurisprudence du Tribunal fédéral,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(TF 5A_488/2015 du 21 août 2015 consid. 3.2.1 et 3.2.2, publié in RSPC 6/2015 pp. 512 s., et les arrêts cités), que ni l’art. 132 al. 1 et 2, ni l’art. 56 CPC ne sont applicables en cas d’absence de motivation d’un acte de recours (ibid.), que la motivation du recours, si elle n’est pas immédiate, doit à tout le moins être produite dans le délai de recours de l'art. 321 al. 2 CPC, qu’à défaut de motivation - dans le délai légal -, l’instance de recours n’entre pas en matière, qu’en l’espèce, l'écriture d'G.________ du 3 décembre 2018 ne contient aucun motif ou moyen de recours contre la décision de la juge de paix, que malgré l'utilisation des termes "recours" et "recourant" dans ladite écriture, il s'agit en réalité d'une demande de motivation,</w:t>
      </w:r>
    </w:p>
    <w:p>
      <w:r>
        <w:t>- 4 - qu'G.________ n’a pas déposé d’autre écriture suivant la notification du prononcé motivé, soit dans le délai de recours proprement dit (art. 321 al. 2 CPC), que faute de motivation satisfaisant aux exigences de la loi et de la jurisprudence en la matière, le "recours" d'G.________ est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judiciaires, est exécutoire. Le vice-président : La greffière : Du L'arrêt qui précède, dont la rédaction a été approuvée à huis clos, est notifié, par l'envoi de photocopies, à :</w:t>
      </w:r>
    </w:p>
    <w:p>
      <w:r>
        <w:t>- 5 - - M. G.________, - Etablissement cantonal d'assurance contre l'incendie et les éléments naturels. La Cour des poursuites et faillites considère que la valeur litigieuse est de 46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