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KC18.037887 vom 28. März 2019</w:t>
      </w:r>
    </w:p>
    <w:p>
      <w:r>
        <w:t>VD Tribunal cantonal, 2019-03-28, FR</w:t>
      </w:r>
    </w:p>
    <w:p>
      <w:r>
        <w:rPr>
          <w:b/>
        </w:rPr>
        <w:t xml:space="preserve">Quelle: </w:t>
      </w:r>
      <w:r>
        <w:t>https://mcp.opencaselaw.ch/entscheid/vd_gerichte_KC18.037887</w:t>
      </w:r>
    </w:p>
    <w:p>
      <w:r>
        <w:t>FR: VD_GERICHTE KC18.037887 du 28 mars 2019</w:t>
      </w:r>
    </w:p>
    <w:p>
      <w:r>
        <w:t>IT: VD_GERICHTE KC18.037887 del 28 marzo 2019</w:t>
      </w:r>
    </w:p>
    <w:p>
      <w:pPr>
        <w:pStyle w:val="Heading2"/>
      </w:pPr>
      <w:r>
        <w:t>Volltext</w:t>
      </w:r>
    </w:p>
    <w:p>
      <w:r>
        <w:t>TRIBUNAL CANTONAL KC18.037887-190257 58 CO UR DE S P OURSUITES ET FAILL ITES ________________________________________________ Arrêt du 28 mars 2019 __________________ Composition :Mme BYRDE, présidente MM. Colombini et Maillard, juges Greffier : M. Elsig ***** Art. 321 al. 1 CPC Vu le prononcé non motivé rendu le 14 décembre 2018, à la suite de l’interpellation du poursuivi, par le Juge de paix du district de l’Ouest lausannois, notifié au poursuivi le 18 décembre 2018, refusant de suspendre la procédure, prononçant la mainlevée définitive de l’opposition formée par P.________, à [...], à la poursuite n° 8'698'743 de l’Office des poursuites du district de l’Ouest lausannois exercée par CONFÉDÉRATION SUISSE, représentée par l’Office d’impôt des districts de Lausanne et de l’Ouest lausannois, à Lausanne, fixant les frais judiciaires à 150 fr., les mettant à la charge du poursuivi et disant qu’en conséquence, celui-ci rembourserait à la poursuivante son avance de frais, par 150 fr., sans allocation de dépens pour le surplus, 111</w:t>
      </w:r>
    </w:p>
    <w:p>
      <w:r>
        <w:t>- 2 - vu la demande de motivation de ce prononcé déposée le 20 décembre 2018 par le poursuivi, vu les motifs du prononcé adressés aux parties le 7 février 2019 et notifiés au poursuivi le lendemain, vu le recours daté du 12 février 2019 mais remis à la poste le lendemain interjeté par le poursuivi contre ce prononcé et les pièces produites avec le recours, vu les autres pièces du dossier ; attendu que la demande de motivation et le recours ont été déposés dans les délais de dix jours des art. 239 al. 2 et 321 al. 2 CPC (Code de procédure civile du 19 décembre 2008 ; RS 272)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w:t>
      </w:r>
    </w:p>
    <w:p>
      <w:r>
        <w:t>- 3 -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requiert la révision des taxations fiscales pour les années 2015 et 2016, déclare avoir demandé une nouvelle taxation pour les années 2013 et 2014, sans avoir reçu de nouvelles depuis, et fait valoir que sa fiduciaire a écrit à l’office d’impôt le 14 décembre 2018 en réponse à un courrier de ce dernier l’informant que son ancienne fiduciaire n’avait pas rempli de déclaration d’impôt, qu’il y a eu un flottement administratif durant la période 2013-2014 et jusqu’à sa faillite de 2016, qu’il tente d’y remédier, qu’il a fait valoir devant le premier juge une différence entre les montants pris en considération par la taxation d’office et ceux dus selon les déclarations d’impôts 2015 et 2016 et qu’il a rempli ces déclarations, que ce faisant, il ne remet pas en question la motivation du prononcé selon laquelle l’intimée est au bénéfice d’une décision de taxation définitive et exécutoire, valant titre à la mainlevée définitive, que son recours ne satisfait pas aux exigences de motivation de l’art. 321 al. 1 CPC et de la jurisprudence susmentionnée, qu’il est en conséquence irrecevable ; attendu qu’au demeurant, à supposer recevable, il devrait être rejeté,</w:t>
      </w:r>
    </w:p>
    <w:p>
      <w:r>
        <w:t>- 4 - qu’en effet, la jurisprudence considère que le juge de la mainlevée ne peut revoir le bien-fondé de la décision sur laquelle se fonde la demande de mainlevée définitive (ATF 140 III 180 consid. 5.2.1 ; ATF 124 III 501 consid. 3a, JdT 1999 II 136), que le premier juge ne pouvait donc examiner l’argument du recourant selon lequel il y aurait une différence entre les montants pris en compte dans la taxation d’office et ceux résultant d’autres déclarations d’impôt, que, pour la même raison, le recourant requiert en vain la révision de la taxation en cause, qu’en outre l’art. 81 al. 1 LP (loi fédérale du 11 avril 1889 sur la poursuite pour dettes et la faillite ; RS 281.1) ne permet au juge de refuser la mainlevée définitive en présence d’une décision exécutoire que si l’opposant prouve par titre que la dette a été éteinte ou qu’il a obtenu un sursis postérieurement à la décision ou qu’il ne se prévale de la prescription, qu’en l’espèce, le recourant n’a produit en première instance aucune pièce établissant que l’intimée lui aurait accordé un sursis à la suite de sa demande de nouvel examen de la taxation des années 2013 et 2014, que c’est dès lors à juste titre que le premier juge a prononcé la mainlevée définitive de l’opposition du recourant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P.________, - Office d’impôt des districts de Lausanne et de l’Ouest lausannois (pour Confédération suisse). La Cour des poursuites et faillites considère que la valeur litigieuse est de 2'035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- 6 -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