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KC18.036816 vom 1. Oktober 2019</w:t>
      </w:r>
    </w:p>
    <w:p>
      <w:r>
        <w:t>VD Tribunal cantonal, 2019-10-01, FR</w:t>
      </w:r>
    </w:p>
    <w:p>
      <w:r>
        <w:rPr>
          <w:b/>
        </w:rPr>
        <w:t xml:space="preserve">Quelle: </w:t>
      </w:r>
      <w:r>
        <w:t>https://mcp.opencaselaw.ch/entscheid/vd_gerichte_KC18.036816</w:t>
      </w:r>
    </w:p>
    <w:p>
      <w:r>
        <w:t>FR: VD_GERICHTE KC18.036816 du 1 octobre 2019</w:t>
      </w:r>
    </w:p>
    <w:p>
      <w:r>
        <w:t>IT: VD_GERICHTE KC18.036816 del 1 ottobre 2019</w:t>
      </w:r>
    </w:p>
    <w:p>
      <w:pPr>
        <w:pStyle w:val="Heading2"/>
      </w:pPr>
      <w:r>
        <w:t>Volltext</w:t>
      </w:r>
    </w:p>
    <w:p>
      <w:r>
        <w:t>TRIBUNAL CANTONAL KC18.036816-191168 204 CO UR DE S P OURSUITES ET FAILL ITES ________________________________________________ Arrêt du 1er octobre 2019 __________________ Composition :Mme BYRDE, présidente M. Colombini et Mme Rouleau, juges Greffier : Mme Joye ***** Art. 239 al. 2 et 321 al. 1 CPC Vu le prononcé rendu le 15 octobre 2018, à la suite de l'interpellation de la poursuivie, par la Juge de paix du district de Lausanne, prononçant la mainlevée définitive de l’opposition formée par J.________, à ...]Lausanne, à la poursuite n° 8'506'600 de l’Office des poursuites du district de Lausanne, exercée à l’instance de la P.________, à Paudex, arrêtant à 90 fr. les frais judiciaires, compensés avec l’avance de frais de la poursuivante, les mettant à la charge de la poursuivie et disant que cette dernière remboursera à la poursuivante son avance de frais à concurrence 90 fr., sans allocation de dépens pour le surplus, 111</w:t>
      </w:r>
    </w:p>
    <w:p>
      <w:r>
        <w:t>- 2 - vu l’envoi de ce dispositif aux parties le 15 novembre 2018 et sa notification à la poursuivie le 23 novembre 2018, vu l'écriture postée le 26 novembre 2018, adressée par la poursuivie à la juge de paix, indiquant que "le présent recours est interjeté en temps utile" et demandant la motivation du prononcé de mainlevée d’opposition, vu les motifs du prononcé adressés aux parties le 7 février 2019 et notifiés à la poursuivie le 11 février 2019, vu la lettre du 26 juillet 2019 de la juge de paix à la Cour de céans, l'informant de l'existence d'un recours, transmettant le dossier et s'excusant pour le retard pris dans cette transmission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 qu’en l’espèce, l'écriture du 26 novembre 2018, s’il s’agit d’un recours, a été déposée dans le délai de demande de motivation, soit en temps utile ; attendu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2e éd., n. 1 ad art. 321 CPC), qu'en particulier, selon l'art. 321 al. 1 CPC, le recours doit être motivé, que selon la jurisprudence du Tribunal fédéral,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(TF 5A_488/2015 du 21 août 2015 consid. 3.2.1 et 3.2.2, publié in RSPC 6/2015 pp. 512 s., et les arrêts cités), que ni l’art. 132 al. 1 et 2, ni l’art. 56 CPC ne sont applicables en cas d’absence de motivation d’un acte de recours (ibid.), que la motivation du recours, si elle n’est pas immédiate, doit à tout le moins être produite dans le délai de recours, qu’à défaut de motivation - dans le délai légal -, l’instance de recours n’entre pas en matière, qu’en l’espèce, dans son écriture du 26 novembre 2018, J.________ se borne à demander la motivation du dispositif, sans invoquer de motif ou moyen de recours contre le prononcé de mainlevée rendu, que J.________ n’a déposé aucune écriture dans le délai de recours suivant la notification du prononcé motivé, arrivé à échéance le 21 février 2019, que dans ces circonstances, faute de motivation satisfaisant aux exigences de la loi et de la jurisprudence en la matière, le recours de J.________ doit être déclaré irrecevable ;</w:t>
      </w:r>
    </w:p>
    <w:p>
      <w:r>
        <w:t>- 4 -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J.________, - P.________. La Cour des poursuites et faillites considère que la valeur litigieuse est de 470 fr. 80. Le présent arrêt peut faire l'objet d'un recours en matière civile devant le Tribunal fédéral au sens des art. 72 ss LTF (loi du 17 juin 2005 sur le Tribunal fédéral – RS 173.110), cas échéant d'un recours</w:t>
      </w:r>
    </w:p>
    <w:p>
      <w:r>
        <w:t>- 5 -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