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KC18.032878 vom 26. März 2019</w:t>
      </w:r>
    </w:p>
    <w:p>
      <w:r>
        <w:t>VD Tribunal cantonal, 2019-03-26, FR</w:t>
      </w:r>
    </w:p>
    <w:p>
      <w:r>
        <w:rPr>
          <w:b/>
        </w:rPr>
        <w:t xml:space="preserve">Quelle: </w:t>
      </w:r>
      <w:r>
        <w:t>https://mcp.opencaselaw.ch/entscheid/vd_gerichte_KC18.032878</w:t>
      </w:r>
    </w:p>
    <w:p>
      <w:r>
        <w:t>FR: VD_GERICHTE KC18.032878 du 26 mars 2019</w:t>
      </w:r>
    </w:p>
    <w:p>
      <w:r>
        <w:t>IT: VD_GERICHTE KC18.032878 del 26 marzo 2019</w:t>
      </w:r>
    </w:p>
    <w:p>
      <w:pPr>
        <w:pStyle w:val="Heading2"/>
      </w:pPr>
      <w:r>
        <w:t>Volltext</w:t>
      </w:r>
    </w:p>
    <w:p>
      <w:r>
        <w:t>TRIBUNAL CANTONAL KC18.032878-190234 48 CO UR DE S P OURSUITES ET FAILL ITES ________________________________________________ Arrêt du 26 mars 2019 ___________________ Composition :Mme BYRDE, présidente MM. Colombini et Hack, juges Greffier : Mme Debétaz Ponnaz ***** Art. 239 al. 2 et 321 al. 1 CPC Vu le prononcé rendu le 2 novembre 2018, à la suite de l’audience du 1er novembre 2018, par la Juge de paix du district de Nyon, prononçant la mainlevée provisoire, à concurrence de 5'050 fr., plus intérêts au taux de 5% l’an dès le 1er mai 2018, de l’opposition formée par B.________, à [...], à la poursuite n° 8’719'353 de l’Office des poursuites du district de Nyon exercée à l’instance d’A.________SA, à [...], arrêtant à 180 fr. les frais judiciaires, compensés avec l’avance de frais de la poursuivante, les mettant à la charge du poursuivi et disant que ce dernier remboursera à la poursuivante son avance de frais à concurrence 180 fr. et lui versera la somme de 400 fr. à titre de dépens, 111</w:t>
      </w:r>
    </w:p>
    <w:p>
      <w:r>
        <w:t>- 2 - vu l’envoi de ce dispositif aux parties le 8 novembre 2018 et sa notification au poursuivi le 16 novembre 2018, vu la lettre du 23 novembre 2018, adressée par le poursuivi à la juge de paix, demandant la motivation du prononcé de mainlevée d’opposition et déclarant contester formellement cette décision, vu la lettre du 5 décembre 2018 intitulée « recours contre la décision du 2 novembre 2018 », adressée par le poursuivi à la juge de paix, réitérant sa demande de motivation du prononcé de mainlevée d’opposition et sa déclaration de contestation formelle de cette décision, vu les motifs du prononcé adressés aux parties le 3 janvier 2019, vu le renvoi par la poste au greffe de la juge de paix, à l’échéance du délai de garde, du pli destiné au poursuivi, avec la mention « non réclamé », vu la transmission du dossier par la juge de paix à la cour de céans, autorité de recours, le 12 février 2019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w:t>
      </w:r>
    </w:p>
    <w:p>
      <w:r>
        <w:t>- 3 - qu’en l’espèce, la lettre du 23 novembre 2018, s’il s’agit d’un recours, a été déposée dans le délai de demande de motivation, soit en temps utile, que B.________ n’a pas déposé d’autre écriture dans le délai de demande de motivation, la lettre du 5 décembre 2018 ayant été postée après l’échéance de ce délai, qu’il n’a déposé aucune écriture dans le délai de recours suivant la notification du prononcé motivé, réputée intervenue à l’échéance du délai de garde, le 11 janvier 2019, conformément à l’art. 138 al. 3 let. a CPC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selon l'art. 321 al. 1 CPC, le recours doit être motivé,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que ni l’art. 132 al. 1 et 2, ni l’art. 56 CPC ne sont applicables en cas d’absence de motivation d’un acte de recours (ibid.),</w:t>
      </w:r>
    </w:p>
    <w:p>
      <w:r>
        <w:t>- 4 - que la motivation du recours, si elle n’est pas immédiate, doit à tout le moins être produite dans le délai de recours, qu’à défaut de motivation - dans le délai légal -, l’instance de recours n’entre pas en matière, qu’en l’espèce, la lettre de B.________ du 23 novembre 2018 ne contient aucun motif ou moyen de recours contre la décision de la juge de paix, en particulier contre les considérants topiques de cette décision selon lesquels la poursuivante est au bénéfice d’une reconnaissance de dette du poursuivi justifiant la mainlevée de l’opposition de ce dernier à la poursuite en cause, que faute de motivation satisfaisant aux exigences de la loi et de la jurisprudence en la matière, le recours de B.________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w:t>
      </w:r>
    </w:p>
    <w:p>
      <w:r>
        <w:t>- 5 - Du L'arrêt qui précède, dont la rédaction a été approuvée à huis clos, est notifié, par l'envoi de photocopies, à : - M. B.________, - Me Albert J. Graf, avocat (pour A.________SA). La Cour des poursuites et faillites considère que la valeur litigieuse est de 6’372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