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KC18.030683 vom 15. April 2019</w:t>
      </w:r>
    </w:p>
    <w:p>
      <w:r>
        <w:t>VD Tribunal cantonal, 2019-04-15, FR</w:t>
      </w:r>
    </w:p>
    <w:p>
      <w:r>
        <w:rPr>
          <w:b/>
        </w:rPr>
        <w:t xml:space="preserve">Quelle: </w:t>
      </w:r>
      <w:r>
        <w:t>https://mcp.opencaselaw.ch/entscheid/vd_gerichte_KC18.030683</w:t>
      </w:r>
    </w:p>
    <w:p>
      <w:r>
        <w:t>FR: VD_GERICHTE KC18.030683 du 15 avril 2019</w:t>
      </w:r>
    </w:p>
    <w:p>
      <w:r>
        <w:t>IT: VD_GERICHTE KC18.030683 del 15 aprile 2019</w:t>
      </w:r>
    </w:p>
    <w:p>
      <w:pPr>
        <w:pStyle w:val="Heading2"/>
      </w:pPr>
      <w:r>
        <w:t>Erwägungen</w:t>
      </w:r>
    </w:p>
    <w:p>
      <w:r>
        <w:rPr>
          <w:b/>
        </w:rPr>
        <w:t>E. 1</w:t>
      </w:r>
    </w:p>
    <w:p>
      <w:r>
        <w:t>a) Le 9 juin 2018, à la réquisition de l’Etat de Vaud, représenté par le Service juridique et législatif, l’Office des poursuites du district du Jura-Nord vaudois a notifié à G.________, dans la poursuite n° 8’763’703, un commandement de payer le montant de 12'018 fr. 35, indiquant comme titre de la créance ou cause de l'obligation : « Montant dû au 04.06.2018 selon : Frais pénaux no 297325, dans l’enquête PE13.012968-CMR - Jugement Tribunal de police Frais pénaux no 297325, dans l’enquête PE13.012968-CMR - Arrêt CREP no 475 du 14.02.2017 ». Le poursuivi a formé opposition totale. b) Le 29 juin 2018, l’Etat de Vaud a requis du Juge de paix des districts du Jura-Nord vaudois et du Gros-de-Vaud la mainlevée définitive de l’opposition à concurrence du montant susmentionné. A l’appui de sa requête, il a produit, outre l’original du commandement de payer, les pièces suivantes, en copie : - un jugement rendu le 28 juin 2017 par le Tribunal de police de l’arrondissement de La Broye et du Nord vaudois, attesté définitif et exécutoire. Ce jugement a mis à la charge du poursuivi les frais de la cause pénale par 11'578 fr. 35, y compris l’indemnité de 11'378 fr. 35 allouée au défenseur d’office du poursuivi (chiffre III du dispositif) et a dit que le remboursement de cette indemnité ne pourra être exigible que lorsque la situation financière du poursuivi le permettra (chiffre IV) ; - un arrêt rendu le 14 septembre 2017 par la Chambre des recours pénale, également attesté définitif et exécutoire, qui a mis à la charge du poursuivi les frais de la procédure de recours, par 440 fr. ; - un procès-verbal de saisie dressé le 21 février 2018 par l’Office des poursuites du district du Jura-Nord vaudois, ordonnant une saisie de salaire de 400 fr., dès le 1er février 2018, à l’encontre du poursuivi ;</w:t>
      </w:r>
    </w:p>
    <w:p>
      <w:r>
        <w:t>- 3 - - un courrier du 11 juin 2018 que le poursuivi a adressé à la Conseillère d’Etat [...]. c) Par courrier recommandé du 7 août 2018, la juge de paix a adressé la requête au poursuivi et lui a fixé un délai au 6 septembre 2018 pour se déterminer et déposer toute pièce utile à établir les éléments qu’il invoquerait. Le pli destiné au poursuivi est venu en retour au greffe avec la mention « non réclamé » le 20 août 2018.</w:t>
      </w:r>
    </w:p>
    <w:p>
      <w:r>
        <w:rPr>
          <w:b/>
        </w:rPr>
        <w:t>E. 2</w:t>
      </w:r>
    </w:p>
    <w:p>
      <w:r>
        <w:t>Par prononcé du 26 novembre 2018, la Juge de paix des districts du Jura-Nord vaudois et du Gros-de-Vaud a rejeté la requête de mainlevée (I), a arrêté à 360 fr. les frais judiciaires, compensés avec l’avance de frais de la partie poursuivante (II), a mis les frais à la charge de celle-ci (III) et n’a pas alloué de dépens (IV). Ce dispositif a été notifié le 27 novembre 2018 à la poursuivante, qui en a demandé la motivation par lettre du même jour. Les motifs du prononcé ont été adressés aux parties le 18 janvier 2019 et notifiés le 21 janvier 2019 à la poursuivante. La juge de paix a considéré que tant le jugement du tribunal de police que l’arrêt de la Chambre des recours pénale constituaient en principe des titres de mainlevée définitive. Toutefois, la poursuivante n’avait pas établi que la situation économique du poursuivi s’était améliorée. D’une part, contrairement à son argumentation, on ne pouvait pas se baser sur le procès-verbal de saisie pour retenir que le poursuivi pouvait être astreint à rembourser l’indemnité de son défenseur d’office. Pour le premier juge, ce document ne constituait pas une décision ad hoc rendue par une autorité compétente. D’autre part, le juge de la mainlevée n’était pas l’autorité compétente pour examiner si la partie poursuivie disposait d’une fortune ou d’un revenu suffisant lui permettant de s’acquitter du montant dû.</w:t>
      </w:r>
    </w:p>
    <w:p>
      <w:r>
        <w:t>- 4 -</w:t>
      </w:r>
    </w:p>
    <w:p>
      <w:r>
        <w:rPr>
          <w:b/>
        </w:rPr>
        <w:t>E. 3</w:t>
      </w:r>
    </w:p>
    <w:p>
      <w:r>
        <w:t>Par acte du 22 janvier 2019, l’Etat de Vaud, représenté par le Service juridique et législatif, a recouru contre le prononcé précité en concluant à sa réforme en ce sens que la mainlevée définitive de l’opposition est prononcée à concurrence de 640 fr., sans intérêt, et que les frais judiciaires de première instance sont mis à la charge du poursuivi, celui-ci étant en outre condamné à payer immédiatement la somme de 360 fr. à l’Etat de Vaud à titre de remboursement de l’avance de frais versée. L’intimé ne s’est pas déterminé dans le délai de dix jours, qui lui avait été imparti par avis du 8 février 2019. En d roit : I. Le recours a été déposé dans les formes requises, par acte écrit et motivé, et en temps utile, dans le délai de dix jours suivant la notification de la décision motivée (art. 321 al. 1 et 2 CPC [Code de procédure civile ; RS 272]). Il est ainsi recevable. 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w:t>
      </w:r>
    </w:p>
    <w:p>
      <w:r>
        <w:rPr>
          <w:b/>
        </w:rPr>
        <w:t>E. 6</w:t>
      </w:r>
    </w:p>
    <w:p>
      <w:r>
        <w:t>§ 1 CEDH [Convention européenne de sauvegarde des droits de l'homme et des libertés fondamentales ; RS 0.101] (Haldy, in Bohnet et al. (éd.), Commentaire romand, Code de procédure civile [ci-après : CR, CPC], 2è</w:t>
      </w:r>
    </w:p>
    <w:p>
      <w:r>
        <w:t>- 5 - éd., nn. 1 à 5 ad art. 53 CPC ; Bohnet, in CR, CPC, n. 2 ad art. 253 CPC ; Klinger, ZPO Kommentar, n. 1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CPF 16 février 2018/16 ; CPF 10 avril 2014/145 et les nombreux arrêts cités). b) En l’espèce, le pli recommandé adressé à l’intimé contenant la requête de mainlevée d’opposition et l’avis lui impartissant un délai pour se déterminer a été retourné au greffe avec la mention « non réclamé ». Conformément à la jurisprudence susmentionnée, la fiction de notification à l’échéance du délai de garde ne s’applique pas dans ces circonstances. Il ne ressort pas du dossier que ce pli aurait été à nouveau notifié d’une autre manière contre accusé de réception à son destinataire, par exemple par huissier. Il s’ensuit que la requête de mainlevée n’a pas été valablement notifiée au poursuivi. Celui-ci n'a dès lors pas eu la possibilité de prendre connaissance de la requête ni de se déterminer à son sujet, ce qui constitue une violation de son droit d'être entendu.</w:t>
      </w:r>
    </w:p>
    <w:p>
      <w:r>
        <w:t>- 6 - III. a) 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b) En l’espèce, le recourant reproche au premier juge d’avoir rejeté la requête de mainlevée dans son intégralité pour le motif que l’amélioration de la situation financière du recourant n’était pas établie. Pour le recourant, cette condition concernerait uniquement l’indemnité de défense d’office (arrêtée à 11'378 fr. 35) et ne viserait pas le solde des frais de procédure, par 640 fr. (12'018 fr. 35 -11'378 fr. 35), lequel serait exigible sans condition. Cette argumentation ne paraît pas dénuée de tout fondement. IV. Vu ce qui précède, il y a lieu d’annuler d’office le prononcé et de renvoyer la cause à la Juge de paix des districts du Jura-Nord vaudois et du Gros-de-Vaud pour qu’elle rende une nouvelle décision après avoir notifié l’acte introductif de l’instance de mainlevée d’opposition au poursuivi. Vu les circonstances, les frais judiciaires de deuxième instance, arrêtés à 180 fr., doivent être laissés à la charge de l’Etat (art. 107 al. 2 CPC). L’avance de frais effectuée par le recourant, de 180 fr., doit par conséquent lui être restituée.</w:t>
      </w:r>
    </w:p>
    <w:p>
      <w:r>
        <w:t>- 7 - Il n’y a pas lieu d’allouer des dépens de deuxième instance, le recourant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