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KC18.029470 vom 6. Dezember 2018</w:t>
      </w:r>
    </w:p>
    <w:p>
      <w:r>
        <w:t>VD Tribunal cantonal, 2018-12-06, FR</w:t>
      </w:r>
    </w:p>
    <w:p>
      <w:r>
        <w:rPr>
          <w:b/>
        </w:rPr>
        <w:t xml:space="preserve">Quelle: </w:t>
      </w:r>
      <w:r>
        <w:t>https://mcp.opencaselaw.ch/entscheid/vd_gerichte_KC18.029470</w:t>
      </w:r>
    </w:p>
    <w:p>
      <w:r>
        <w:t>FR: VD_GERICHTE KC18.029470 du 6 décembre 2018</w:t>
      </w:r>
    </w:p>
    <w:p>
      <w:r>
        <w:t>IT: VD_GERICHTE KC18.029470 del 6 dicembre 2018</w:t>
      </w:r>
    </w:p>
    <w:p>
      <w:pPr>
        <w:pStyle w:val="Heading2"/>
      </w:pPr>
      <w:r>
        <w:t>Volltext</w:t>
      </w:r>
    </w:p>
    <w:p>
      <w:r>
        <w:t>TRIBUNAL CANTONAL KC18.029470-181817 318 CO UR DE S P OURSUITES ET FAILL ITES ________________________________________________ Arrêt du 6 décembre 2018 _____________________ Composition :Mme BYRDE, présidente MM. Hack et Maillard, juges Greffier : Mme Debétaz Ponnaz ***** Art. 321 al. 1 CPC Vu le prononcé rendu le 4 septembre 2018 par le Juge de paix du district de Lavaux-Oron, statuant à la suite de l’interpellation de la partie poursuivie, prononçant la mainlevée définitive, à concurrence de 2'800 fr., sans intérêt, de l’opposition formée par Q.________, à [...], à la poursuite ordinaire n° 8’680’665 de l’Office des poursuites du district de Lavaux-Oron exercée contre lui à l’instance de l’ETAT DE VAUD, Département de la santé et de l’action sociale, Service de prévoyance et d’aide sociales, Section juridique, arrêtant à 180 fr. les frais judiciaires, compensés avec l’avance de frais du poursuivant, les mettant à la charge du poursuivi et disant que ce dernier doit rembourser 111</w:t>
      </w:r>
    </w:p>
    <w:p>
      <w:r>
        <w:t>- 2 - au poursuivant son avance de frais à concurrence de 180 fr., sans allocation de dépens pour le surplus, vu la notification de ce dispositif au poursuivi le 12 septembre 2018, vu la demande de motivation formulée par le poursuivi par lettre du 18 septembre 2018, vu les motifs du prononcé adressés aux parties le 1er novembre 2018 et notifiés au poursuivi le 6 novembre 2018, vu le recours formé le 16 novembre 2018 par Q.________, contestant le caractère indu des prestations sociales dont la restitution est réclamée dans la poursuite en cause et concluant en substance à ce que, par une décision rendue sans frais, son recours soit admis, son opposition étant maintenue et la poursuite radiée, vu l’écriture déposée par le recourant par courriel le 27 novembre 2018, concluant à ce que, par voie de mesure superprovisionnelle, la saisie dont il fait l’objet soit arrêtée, vu les autres pièces du dossier ; attendu que la demande de motivation et le recours ont été déposés en temps utile, dans les délais de dix jours fixés par les art. 239 al. 2 et 321 al. 2 CPC (Code de procédure civile ; RS 272), qu’en revanche, l’écriture adressée à la cour de céans le 27 novembre 2018, soit après l’échéance du délai de recours, est tardive, qu’au surplus, elle a été déposée uniquement par courriel et ne respecte pas les formes prescrites par l’art. 130 CPC,</w:t>
      </w:r>
    </w:p>
    <w:p>
      <w:r>
        <w:t>- 3 - que la cour n’entre donc pas en matière sur la requête de mesure superprovisionnelle que contient cette écriture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ne soulève aucun grief contre les considérants du premier juge selon lesquels le poursuivant est au bénéfice d’une décision administrative assimilée à un jugement exécutoire au sens de l’art. 80 LP (loi fédérale sur la poursuite pour dettes et la faillite ; RS</w:t>
      </w:r>
    </w:p>
    <w:p>
      <w:r>
        <w:t>- 4 - 281.1) et valant ainsi titre de mainlevée définitive de l’opposition à la poursuite en cause, qu’il soutient que les prestations dont la restitution est réclamée en poursuite n’ont pas été indûment touchées, mais payées « dans le cadre de l’aide sociale normale » et que leur remboursement serait soumis à la condition que la situation financière du débiteur le permette, qu’un tel moyen est sans portée dès lors que le juge de la mainlevée doit vérifier que la prétention déduite en poursuite ressort de la décision qui lui est présentée, dont l’exécution forcée est requise, mais n’a pas le pouvoir de revoir le bien-fondé de cette décision (ATF 140 III 180 consid. 5.2.1 ; TF 5D_171/2016 du 16 février 2017 consid. 5 ; TF 5A_824/2015 du 18 mars 2016 consid. 2.2), que le recours, faute d’être motivé conformément aux exigences posées par la loi et la jurisprudence, doit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w:t>
      </w:r>
    </w:p>
    <w:p>
      <w:r>
        <w:t>- 5 - II. L’arrêt, rendu sans frais, est exécutoire. La présidente : La greffière : Du L'arrêt qui précède, dont la rédaction a été approuvée à huis clos, est notifié, par l'envoi de photocopies, à : - M. Q.________, - Etat de Vaud, Département de la santé et de l’action sociale, Service de prévoyance et d’aide sociales, Section juridique. La Cour des poursuites et faillites considère que la valeur litigieuse est de 2’800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