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KC18.026089 vom 18. Juli 2019</w:t>
      </w:r>
    </w:p>
    <w:p>
      <w:r>
        <w:t>VD Tribunal cantonal, 2019-07-18, FR</w:t>
      </w:r>
    </w:p>
    <w:p>
      <w:r>
        <w:rPr>
          <w:b/>
        </w:rPr>
        <w:t xml:space="preserve">Quelle: </w:t>
      </w:r>
      <w:r>
        <w:t>https://mcp.opencaselaw.ch/entscheid/vd_gerichte_KC18.026089</w:t>
      </w:r>
    </w:p>
    <w:p>
      <w:r>
        <w:t>FR: VD_GERICHTE KC18.026089 du 18 juillet 2019</w:t>
      </w:r>
    </w:p>
    <w:p>
      <w:r>
        <w:t>IT: VD_GERICHTE KC18.026089 del 18 luglio 2019</w:t>
      </w:r>
    </w:p>
    <w:p>
      <w:pPr>
        <w:pStyle w:val="Heading2"/>
      </w:pPr>
      <w:r>
        <w:t>Volltext</w:t>
      </w:r>
    </w:p>
    <w:p>
      <w:r>
        <w:t>TRIBUNAL CANTONAL KC18.026089-190891 161 CO UR DE S P OURSUITES ET FAILL ITES ________________________________________________ Arrêt du 18 juillet 2019 __________________ Composition :Mme BYRDE, présidente Mme Rouleau et M. Maillard, juges Greffier : M. Elsig ***** Art. 59 al. 2 let. a CPC Vu le prononcé non motivé rendu le 9 octobre 2018, à la suite de l’audience du même jour, par le Juge de paix du district de Lausanne, notifié au poursuivi le 14 janvier 2019, rejetant la requête tendant à la mainlevée de l’opposition formée par H.________, à [...], à la poursuite n° 8'695'769 de l’Office des poursuites du district de Lausanne exercée par N.________, à [...], fixant les frais judiciaires à 150 fr., les mettant à la charge de la poursuivante et n’allouant pas de dépens, vu le recours daté du 21 janvier 2019 mais remis à la poste le lendemain, interjeté par le poursuivi contre ce prononcé, 111</w:t>
      </w:r>
    </w:p>
    <w:p>
      <w:r>
        <w:t>- 2 - vu les motifs du prononcé adressés aux parties le 15 mai 2019 et notifiés au poursuivi le 21 mai 2019,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Jeandin, in Bohnet/Haldy/Jeandin/Schweizer/Tappy (éd.), Commentaire romand, Code de procédure civile, 2e éd., 2019, n. 7 ad art. 321 CPC), qu’en l’espèce, le dispositif du prononcé a été notifié au recourant le 14 janvier 2019, que le recours déposé le 22 janvier 2019 par le recourant, valant demande de motivation, a été déposée en temps utile ; attendu qu’aux termes de l'art. 59 al. 1 CPC, le tribunal n'entre en matière que sur les demandes et les requêtes qui satisfont aux conditions de recevabilité de l'action,</w:t>
      </w:r>
    </w:p>
    <w:p>
      <w:r>
        <w:t>- 3 - que l'existence d'un intérêt à recourir est requis pour l'exercice de toute voie de droit (cf. art. 59 al. 2 let a CPC; ATF 130 III 102 consid. 1.3, rés. in JdT 2004 I 234; ATF 127 III 429 consid. 1b, rés. in JdT 2001 I 371; ATF 126 III 198 consid. 2b; ATF 120 II 5 consid. 2a, JdT 1997 I 59), que l'absence d'un tel intérêt, qui doit être constatée d'office (art. 60 CPC), entraîne l'irrecevabilité du recours (Freiburghaus/Afheldt in Sutter-Somm/ Hasenböhler/Leuenberger (éd.), ZPO Kommentar, 3e éd., nn. 10 et 11 ad art. 321 CPC; Corboz, Commentaire de la LTF [loi sur le Tribunal fédéral; RS 173.110], n. 14 ad art. 76 LTF et réf. citées ; Colombini, Code de procédure civile, Condensé de la jurisprudence fédérale et vaudoise, Lausanne 2018, n. 2.1 ad art. 311 CPC et réf. citées) ; attendu qu’en l’espèce, le prononcé attaqué a rejeté la requête de mainlevée déposée par N.________ et a mis les frais judiciaires à la charge de celle-ci, que le recourant ayant ainsi entièrement obtenu gain de cause en première instance, il n’a aucun intérêt digne de protection au recours, que son recours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w:t>
      </w:r>
    </w:p>
    <w:p>
      <w:r>
        <w:t>- 4 - La présidente : Le greffier : Du L'arrêt qui précède, dont la rédaction a été approuvée à huis clos, est notifié, par l'envoi de photocopies, à : - M. H.________, - Mme N.________. La Cour des poursuites et faillites considère que la valeur litigieuse est de 1'825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