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KC18.022723 vom 7. Dezember 2018</w:t>
      </w:r>
    </w:p>
    <w:p>
      <w:r>
        <w:t>VD Tribunal cantonal, 2018-12-07, FR</w:t>
      </w:r>
    </w:p>
    <w:p>
      <w:r>
        <w:rPr>
          <w:b/>
        </w:rPr>
        <w:t xml:space="preserve">Quelle: </w:t>
      </w:r>
      <w:r>
        <w:t>https://mcp.opencaselaw.ch/entscheid/vd_gerichte_KC18.022723</w:t>
      </w:r>
    </w:p>
    <w:p>
      <w:r>
        <w:t>FR: VD_GERICHTE KC18.022723 du 7 décembre 2018</w:t>
      </w:r>
    </w:p>
    <w:p>
      <w:r>
        <w:t>IT: VD_GERICHTE KC18.022723 del 7 dicembre 2018</w:t>
      </w:r>
    </w:p>
    <w:p>
      <w:pPr>
        <w:pStyle w:val="Heading2"/>
      </w:pPr>
      <w:r>
        <w:t>Volltext</w:t>
      </w:r>
    </w:p>
    <w:p>
      <w:r>
        <w:t>TRIBUNAL CANTONAL KC18.022723-181582 274 CO UR DE S P OURSUITES ET FAILL ITES ________________________________________________ Arrêt du 7 décembre 2018 __________________ Composition :M. HACK, juge présidant M. Colombini et Mme Rouleau, juges Greffier : Mme Joye ***** Art. 321 al. 1 CPC Vu le prononcé du 17 août 2018 par lequel la Juge de paix du district de l’Ouest lausannois, statuant à la suite de l’interpellation de la partie poursuivie, a prononcé la mainlevée définitive, à concurrence de 87 fr. plus intérêt à 3% l'an dès le 18 décembre 2017, de l’opposition formée par H.________, à ...]Ecublens, à la poursuite n° 8'630'585 de l’Office des poursuites du district de l’Ouest lausannois exercée contre lui à l’instance de la CONFEDERATION SUISSE, représentée par l’Office d’impôt des districts de Lausanne et Ouest lausannois, a arrêté à 90 fr. les frais judiciaires, compensés avec l’avance de frais de la poursuivante, les a mis à la charge du poursuivi et a dit que celui-ci rembourserait en 111</w:t>
      </w:r>
    </w:p>
    <w:p>
      <w:r>
        <w:t>- 2 - conséquence à la poursuivante son avance de frais à concurrence de 90 fr., sans allocation de dépens pour le surplus, vu le recours formé par H.________ contre ce prononcé, qui lui avait été notifié sous forme de dispositif le 29 août 2018, par acte adressé au juge de paix le 6 septembre 2018, vu les motifs du prononcé adressés aux parties le 26 septembre 2018 et notifiés au poursuivi le 4 octobre suivant, vu le nouvel acte de recours, daté du 11 et posté le 12 octobre 2018, déposé par H.________ ; attendu que le recours au sens des art. 319 ss CPC (Code de procédure civile ; RS 272) contre une décision prise en procédure sommaire doit être introduit auprès de l’instance de recours par acte écrit et motivé (art. 321 al. 1 CPC), dans les dix jours à compter de la notification de la décision motivée (art. 321 al. 2 CPC), qu’en outre, le droit de recourir peut déjà s’exercer dans le délai de demande de motivation, lequel est de dix jours à compter de la communication de la décision sous forme de dispositif (art. 239 al. 1 et 2, 1ère phrase, CPC), un acte de recours déposé dans ce délai étant alors considéré également comme une demande de motivation, que la partie qui entend user d'une voie de droit a la charge de se conformer à certaines règles de forme, à défaut de quoi sa démarche sera frappée d'irrecevabilité (Jeandin, in Bohnet/Haldy/Jeandin/Schweizer/ Tappy (éd.), Code de procédure civile commenté, Bâle 2011, n. 1 ad art. 321 CPC), qu’en particulier, le recours doit être motivé (art. 321 al. 1 CPC),</w:t>
      </w:r>
    </w:p>
    <w:p>
      <w:r>
        <w:t>- 3 - que, si la motivation du recours fait défaut, l’instance de recours n’entre pas en matière, que, selon la jurisprudence du Tribunal fédéral, la motivation du recours doit à tout le moins satisfaire aux exigences qui sont posées pour un acte d’appel (TF 5A_106/2016 du 1er juin 2016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CPC, ni l’art. 56 CPC ne sont applicables en cas d’absence de motivation d’un acte de recours (ibid.), qu’en l’espèce, H.________ a déposé deux actes de recours, le premier le 6 septembre 2018, dans le délai de demande de motivation (art. 239 al. 2 CPC), et le second le 12 octobre 2018, dans le délai de recours proprement dit (art. 321 al. 2 CPC), soit en temps utile, que dans ces deux écritures, il ne formule aucun grief, motif ou moyen de recours contre les motifs du prononcé levant définitivement son opposition à la poursuite en cause, qu’en particulier, il ne conteste pas que les décisions de taxation fondant la poursuite valent titres de mainlevée définitive pour les montants réclamés, qu’aucun des deux actes déposés par H.________ n’est ainsi conforme aux exigences posées par la loi et la jurisprudence, de sorte que le recours doit être déclaré irrecevable ;</w:t>
      </w:r>
    </w:p>
    <w:p>
      <w:r>
        <w:t>- 4 -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Le juge présidant : La greffière : Du L'arrêt qui précède, dont la rédaction a été approuvée à huis clos, est notifié, par l'envoi de photocopies, à : - M. H.________, - Office d’impôt des districts de Lausanne et Ouest lausannois (pour la Confédération suisse). La Cour des poursuites et faillites considère que la valeur litigieuse est de 88 fr. 50.</w:t>
      </w:r>
    </w:p>
    <w:p>
      <w:r>
        <w:t>- 5 -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