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KC18.022037 vom 3. Juli 2019</w:t>
      </w:r>
    </w:p>
    <w:p>
      <w:r>
        <w:t>VD Tribunal cantonal, 2019-07-03, FR</w:t>
      </w:r>
    </w:p>
    <w:p>
      <w:r>
        <w:rPr>
          <w:b/>
        </w:rPr>
        <w:t xml:space="preserve">Quelle: </w:t>
      </w:r>
      <w:r>
        <w:t>https://mcp.opencaselaw.ch/entscheid/vd_gerichte_KC18.022037</w:t>
      </w:r>
    </w:p>
    <w:p>
      <w:r>
        <w:t>FR: VD_GERICHTE KC18.022037 du 3 juillet 2019</w:t>
      </w:r>
    </w:p>
    <w:p>
      <w:r>
        <w:t>IT: VD_GERICHTE KC18.022037 del 3 luglio 2019</w:t>
      </w:r>
    </w:p>
    <w:p>
      <w:pPr>
        <w:pStyle w:val="Heading2"/>
      </w:pPr>
      <w:r>
        <w:t>Erwägungen</w:t>
      </w:r>
    </w:p>
    <w:p>
      <w:r>
        <w:rPr>
          <w:b/>
        </w:rPr>
        <w:t>E. 28</w:t>
      </w:r>
    </w:p>
    <w:p>
      <w:r>
        <w:t>CO (Schmidlin, in : Thévenoz/Werro (éd.), Commentaire romand, Code des obligations, vol I, 2e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3a, JdT 1982 I 77 ; ATF 105 II 75 consid. 2a, JdT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consid.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w:t>
      </w:r>
    </w:p>
    <w:p>
      <w:r>
        <w:rPr>
          <w:b/>
        </w:rPr>
        <w:t>E. 31</w:t>
      </w:r>
    </w:p>
    <w:p>
      <w:r>
        <w:t>CO n'instaure pas un délai de prescription, mais un délai de péremption (ATF 114 Il 131 consid. 2b), qui ne peut être ni suspendu ni interrompu en application des art. 134 ss CO (Schwenzer, in Honsell/Vogt/Wiegand (éd.), Basler Kommentar, Obligationenrecht (OR), vol. I, Bâle, 6e éd. 2015 , n. 11</w:t>
      </w:r>
    </w:p>
    <w:p>
      <w:r>
        <w:t>- 11 - ad art. 31 CO).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 Schmidlin, op. cit.,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du 22 juin 2010, consid. 3.4). Enfin, la déclaration d'invalidation est sujette à réception, ce qui signifie qu'elle n'a d'effet qui si elle est arrivée dans la sphère d'influence du cocontractant (Schmidlin, Berner Kommentar, n. 68 ad art. 31 CO, p. 314 ; Schwenzer, op. cit., n. 10 ad art. 31 CO). Lorsqu'un contrat est invalidé en raison d'un vice de la volonté et que cette invalidation est fondée, le contrat est résolu avec un effet ex tunc (ATF 128 III 70, JdT 2003 I 4).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 Les simples déclarations d’une partie n’ont à cet égard aucune valeur probante, même au niveau de la vraisemblance (TF 5A_62/2015 du 28 avril 2015 consid. 3.1.3 ; CPF, 16 janvier 2012/6; CPF, 2</w:t>
      </w:r>
    </w:p>
    <w:p>
      <w:r>
        <w:t>- 12 - février 2006/22; CPF, 8 mai 2003/150 et les références citées; Gilliéron, Poursuite pour dettes, faillite et concordat, 5e éd, p. 199, n. 786). cc) L’art. 8 CC (Code civil du 10 décembre 1907, RS 210) n'est (directement) applicable qu'aux rapports juridiques relevant du droit privé fédéral (ATF 124 III 134, consid. 2b/bb et la jurisprudence citée). En matière d'incidents du droit des poursuites, auxquels appartient notamment la mainlevée de l'opposition (ATF 132 III 140, consid. 4.1.1, rés. in JdT 2006 II 187), la répartition du fardeau de la preuve ressortit au droit public (Deschenaux, Le Titre préliminaire du Code civil, in: Traité de droit privé suisse [TDPS] II/I, p. 231 note 49), mais il est admis que les principes découlant de l'art. 8 CC valent aussi (par analogie) pour la procédure de mainlevée (TF, 5D_180/2012 du 31 janvier 2013 précité, consid. 3.3.2 ; Kummer, in: Berner Kommentar, 1962, n° 54 ad art. 8 CC). Cette norme n'étant pas un droit constitutionnel au sens de l'art. 116 LTF (loi du 17 juin 2005 sur le Tribunal fédéral, RS 173.110), le droit à la preuve découle de l'art. 29 al. 2 Cst. (Constitution fédérale de la Confédération suisse du 18 avril 1999, RS 101), qui accorde ici les mêmes prérogatives (cf. 5D_180/2012 du 31 janvier 2013 précité, consid. 3.3.2 ; TF 5A_726/2009 du 30 avril 2010 consid. 3.1, non publié in ATF 136 III 365).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JT 1994 I 217 ; ATF 106 II 29 consid. 2 et les arrêts cités, JdT 1980 I 354 ; TF 5C.13/2007 du 2 août 2007 consid. 6.1 publié in SJ 2008 I p. 125). Cette obligation ne touche cependant pas au fardeau de la preuve et n'implique nullement un renversement de celui-ci (ATF 119 II 305 précité, consid. 1b/aa; ATF 106 II 29 précité, c. 2 et les arrêts cités; TF 5P.344/2003 du 8 janvier 2004 consid. 2.2.2; Hausheer/Jaun, Die Einleitungsartikel des ZGB (Art. 1-10 ZGB), 2003, n. 56 ad art. 8, 9 et 10; Hohl, Procédure civile, t. I, 2e éd., 2016 n. 1976).</w:t>
      </w:r>
    </w:p>
    <w:p>
      <w:r>
        <w:t>- 13 - c)aa) En l’espèce, l’intimée a adressé le 24 juin 2014 à la recourante un devis pour la conception de la plateforme web de la poursuivie, mentionnant à son chapitre 2 comme références [...], [...], [...], [...], [...], [...], [...], le [...], et [...]. Le 19 mai 2016, les parties ont signé copie un « contrat site internet » « clé en mains », par lequel l’intimée s’engageait à fournir à la recourante diverses prestations (analyse des besoins, design, fourniture de page de contenu, promotion et référencement, formation, maintenance technique et corrective, hébergement, plus options diverses) en relation avec un site internet, pour un prix mensuel de 584 fr. hors taxes. Le contrat mentionne que la recourante a pris connaissance des conditions générales qui prévoient à leur art. 2 que le contrat est conclu pour une durée de trente-six mois, renouvelable tacitement de trente-six mois en trente-six mois, sauf résiliation écrite parvenue au moins six mois avant l’échéance, une résiliation anticipée n’étant pas admise. Durant la période du 4 novembre au 16 décembre 2016, la recourante a adressé dix courriels à l’intimée faisant état de problèmes d’accès à diverses fonctionnalités du site internet en cause. Le 5 février 2017, elle lui a demandé un geste commercial vu les problèmes rencontrés jusqu’à un changement de serveur survenu le 5 décembre 2016. Les 5 et 10 février 2017, elle a fait encore état d’un problème dans le défilement des logos publicitaires et, le 7 mars 2017 elle a relevé que le site internet n’était pas accessible depuis les moteurs de recherche. Par courrier recommandé du 3 juillet 2017 adressé à l’intimée, la recourante a reconfirmé un courriel du 17 avril 2017 selon lequel le contrat en cause n’avait « été concrétisé essentiellement que sur la mise en valeur des références » commerciales figurant sur le devis, s’est référée à ses courriels de réclamation en relation avec des défauts du site internet en cause et l’a invitée à lui faire parvenir une confirmation que les références commerciales étaient bien en relations avec elle à la date de la signature du contrat en cause.</w:t>
      </w:r>
    </w:p>
    <w:p>
      <w:r>
        <w:t>- 14 - Par courrier recommandé adressé à la recourante le 21 septembre 2017, répondant à un courrier de celle-ci du 12 septembre 2017, le conseil de l’intimée a contesté empêcher la recourante de réaliser des recettes, ayant transmis les accès nécessaires les 17 octobre 2016 et 27 février 2017, a demandé des précisions quant à la nature des défauts invoqués dans un courrier du 11 août 2017, peinant à comprendre ceux-ci et précisant qu’auparavant les problèmes signalés par la recourante avaient été résolus à la satisfaction de celle-ci, et a confirmé qu’elle avait travaillé pour les sociétés référencées sur son site internet et dans les documents précontractuels et contractuels, contestant avoir trompé la recourante sur ce point. Par courrier recommandé adressé le 3 octobre 2017 au conseil de l’intimée, le conseil de la recourante a fait valoir que les codes d’accès n’avaient pas été remis à sa cliente, l’empêchant d’accéder convenablement à la base de données du site, et lui a demandé de fournir des informations plus précises sur les entreprises référencées sur le son site internet, exposant que ces relations commerciales avaient été un élément essentiel dans la conclusion du contrat en cause, ainsi que « des éléments solides exposant quels types de services » elle avait rendu à ces entreprises, faute de quoi une invalidation du contrat était envisagée. Le 26 octobre 2017, le notaire P.________ a établi un constat authentique, dont il ressort que les logos des sponsors de la recourante apparaissaient sur le site internet en cause avec des tailles inégales, ce qui nuisait à la cohérence graphique des pages et que l’ordre des menus sur la page française n’était pas le même que sur la page allemande, l’onglet « Home » figurant de manière surprenante en troisième position sur la seconde, alors qu’il était comme d’habitude en deuxième position sur la première. Par courrier recommandé adressée au conseil de la recourante le 13 décembre 2017 en réponse à une lettre de celui-ci du 17 novembre 2017, le conseil de l’intimée a soutenu que la recourante disposait de tous les codes d’accès lui permettant de modifier le site internet en cause et</w:t>
      </w:r>
    </w:p>
    <w:p>
      <w:r>
        <w:t>- 15 - d’assurer ses rentrées publicitaires, qu’elle n’avait pas répondu au courriel de sa cliente destiné au transfert des données, a contesté la qualification de défaut attribuée aux problèmes évoqués par la recourante, ainsi que le fait que ces problèmes aient fait l’objet de réclamations et a refusé de donner des informations au sujet des sociétés référencées sur le site internet de sa cliente. Le conseil de la recourante a répondu à ce courrier le 3 janvier 2018 en prenant acte du refus de l’intimée de fournir les informations relatives aux références figurant sur le site internet de celle-ci et a déclaré résoudre le contrat pour le motif que sa cliente avait été trompée, vu les défauts du site internet en cause, par ces références, qui l’avaient amenée à signer le contrat du 19 mai 2016. Il a réclamé la répétition des montants déjà versés par sa cliente ainsi que le remboursement du manque à gagner estimé à 45'000 fr. au minimum. La recourante a fait notifier le 28 mai 2018 à l’intimée un commandement de payer dans la poursuite n° 8'743'742 de l’Office des poursuites du district de l’Ouest lausannois réclamant le paiement de la somme de 51'574 fr. 80 avec intérêt à 5 % l’an dès le 25 juillet 2016 correspondant à 6'574 fr. 80 à titre de montant indûment perçu au titre du contrat invalidé et de 45'000 fr. en dommages-intérêts pour violation/exécution imparfaite du contrat de prestations, manque à gagner. Dans ses déterminations du 2 juillet 2018, la recourante a produit une capture d’écran du site internet en cause comportant la mention suivante : « Copyright © 2017 R.________ Sàrl. All Rights Reserved ». bb) La recourante fait grief au premier juge de n’avoir pris en compte que le courrier du 8 (recte : 3) janvier 2018 pour déterminer si l’erreur essentielle et dol invoqués étaient rendu vraisemblables. Elle soutient que ces vices du consentement devraient être admis au vu des références à des entreprises ressortant du devis du 24 juin 2014, de la</w:t>
      </w:r>
    </w:p>
    <w:p>
      <w:r>
        <w:t>- 16 - mention de l’intimée dans le copyright apparaissant sur la capture d’écran du site en cause et du courrier de l’intimée du 13 décembre 2018 refusant de transmettre des informations en relation avec les sociétés présentées en référence. Ces pièces ne rendent toutefois pas vraisemblable que la référence à d’importantes sociétés tierces dans le devis constituait un élément essentiel du contrat au sens de l’art. l'art. 24 al. 1 ch. 4 CO et de la jurisprudence y relative et pas davantage que, sans cette référence, la recourante n’aurait pas conclu le contrat en cause, étant précisé pour ce dernier élément que le moment déterminant pour l’appréciation du dol est celui de la signature du contrat. Au demeurant, c’est en vain que la recourante fait valoir la capture d’écran du site internet en cause mentionnant le copyright de l’intimée pour rendre vraisemblable que l’intimée n’a pas travaillé pour les sociétés référencées dans son devis du 24 juin 2014 : en effet, elle n’a produit aucune capture d’écran des sites de ces sociétés pour effectuer une comparaison. Le fait que l’intimée ait refusé de donner une quelconque information sur ses rapports avec ces sociétés n’est pas déterminant non plus. En effet, ce refus est intervenu hors procédure judiciaire et comme l’admet la recourante, l’obligation de collaborer à l’établissement d’un fait négatif n’emporte de toute manière pas un renversement du fardeau de la preuve. D’ailleurs, le juge de la mainlevée doit statuer sur les moyens libératoires du poursuivi sur la base de la vraisemblance. Or, le fait que l’intimée ait confirmé dans son courrier du 21 septembre 2017 avoir travaillé avec les sociétés mentionnées en référence dans son devis pour ensuite refuser de fournir des informations sur ses relations contractuelles avec ses sociétés ne suffit pas à rendre vraisemblable l’allégation de la recourante selon laquelle ces références seraient mensongères. Le recours doit être rejeté sur ce point.</w:t>
      </w:r>
    </w:p>
    <w:p>
      <w:r>
        <w:t>- 17 - d) Pour le surplus, la recourante ne conteste pas la motivation du premier juge selon laquelle le montant invoqué en compensation n’était rendu vraisemblable par aucune des pièces produites. A juste titre. En effet, lorsqu’il invoque le moyen tiré de la compensation, il incombe au débiteur poursuivi de rendre vraisemblable la créance compensante et le montant exact à concurrence duquel la dette serait éteinte (art. 124 al. 1 CO ; ATF 136 III 624 consid. 4.2.3 ; Staehelin, in Staehelin/Bauer/Staehelin, Basler Kommentar SchKG I, 2e éd, n° 94 ad art. 82 LP ; Veuillet, op. cit. n. 126 ad art. 82 LP ; Krauskopf, La mainlevée provisoire ; quelques jurisprudences récentes, in JdT 2008 II 23 ss, et les réf. cit., note infrapaginale 152).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198- 199; Schmidt, in Dallèves/Foëx/Jeandin Commentaire romand LP, n° 30 ad art. 82 LP ; Veuillet, loc. cit.). III. En conclusion, le recours, manifestement mal fondé, doit être rejeté et le prononcé confirmé. Vu le rejet du recours, les frais judiciaires de deuxième instance, arrêtés à 360 fr., doivent être mis à la charge de la recourante (art. 106 al. 1 CPC).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