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KC18.017976 vom 2. Oktober 2018</w:t>
      </w:r>
    </w:p>
    <w:p>
      <w:r>
        <w:t>VD Tribunal cantonal, 2018-10-02, FR</w:t>
      </w:r>
    </w:p>
    <w:p>
      <w:r>
        <w:rPr>
          <w:b/>
        </w:rPr>
        <w:t xml:space="preserve">Quelle: </w:t>
      </w:r>
      <w:r>
        <w:t>https://mcp.opencaselaw.ch/entscheid/vd_gerichte_KC18.017976</w:t>
      </w:r>
    </w:p>
    <w:p>
      <w:r>
        <w:t>FR: VD_GERICHTE KC18.017976 du 2 octobre 2018</w:t>
      </w:r>
    </w:p>
    <w:p>
      <w:r>
        <w:t>IT: VD_GERICHTE KC18.017976 del 2 ottobre 2018</w:t>
      </w:r>
    </w:p>
    <w:p>
      <w:pPr>
        <w:pStyle w:val="Heading2"/>
      </w:pPr>
      <w:r>
        <w:t>Volltext</w:t>
      </w:r>
    </w:p>
    <w:p>
      <w:r>
        <w:t>TRIBUNAL CANTONAL KC18.017976-181253 234 CO UR DE S P OURSUITES ET FAILL ITES ________________________________________________ Arrêt du 2 octobre 2018 ____________________ Composition :Mme BYRDE, présidente M. Colombini et Mme Rouleau, juges Greffier : M. Elsig ***** Art. 321 al. 1 CPC Vu le prononcé non motivé rendu le 29 mai 2018, à la suite de l’audience du même jour, par le Juge de paix du district de Lausanne, notifié à la poursuivante le 4 juin 2018, rejetant la requête de C.________ SA, à [...], tendant à la mainlevée provisoire de l’opposition formée par P.________, à [...], à la poursuite n° 8'278'678 de l’Office des poursuites du district de Lausanne, fixant les frais judiciaires à 180 fr., les mettant à la charge de la poursuivante et n’allouant pas de dépens, vu le recours daté du 11 juin 2018 mais remis à la poste le lendemain interjeté contre ce prononcé par la poursuivante, 111</w:t>
      </w:r>
    </w:p>
    <w:p>
      <w:r>
        <w:t>- 2 - vu les motifs du prononcé adressés aux parties le 5 juillet 2018,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4 juin 2018, que le recours, déposé le 12 juin 2018,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w:t>
      </w:r>
    </w:p>
    <w:p>
      <w:r>
        <w:t>- 3 -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fait valoir que la facture litigieuse n’a pas été contestée, qu’un acompte a été payé et que le cas a été réglé par l’ECA, que ce faisant, la recourante n’émet aucune critique à l’encontre de la motivation du prononcé attaqué selon laquelle la facture du 6 novembre 2016 n’est pas signée par le poursuivi et le courrier de celui-ci du 2 février 2017 ne porte pas sur un montant déterminé et déterminable, de sorte que la poursuivante n’est au bénéfice d’aucun titre à la mainlevée selon l’art. 82 LP (loi fédérale du 11 avril 1889 sur la poursuite pour dettes et la faillite ; RS 281.1),</w:t>
      </w:r>
    </w:p>
    <w:p>
      <w:r>
        <w:t>- 4 - que la recourante n’a pas déposé d’autre écriture dans le délai de recours, que le recours ne satisfait pas aux exigences de motivation posées par l’art. 321 al. 1 CPC et la jurisprudence susmentionnée, qu’il est en conséquence irrecevable ; attendu qu’à supposer recevable, le recours devrait être rejeté, qu’en effet, la procédure de mainlevée provisoire n’a pas pour objet de constater la réalité d’une créance, mais l’existence d’un titre exécutoire, soit une reconnaissance de dette au sens de l’art. 82 LP, soit un acte portant la signature du débiteur ou de son représentant, d’où ressort sa volonté de payer au créancier une somme d’argent déterminée, ou aisément déterminable, et exigible (ATF 142 III 720 consid. 4.1 ; ATF 139 III 297 consid. 2.3.1 ; ATF 132 III 140 consid. 4.1.1, rés. in JdT 2008 II 187), qu’effectivement, le dossier ne comprend aucune reconnaissance de dette signée par l’intimé portant sur le montant réclamé, que la recourante peut encore réclamer le paiement de la facture en cause en déposant, non pas une requête de mainlevée provisoire, mais une demande en reconnaissance de dette devant le juge ordinaire, procédure dans laquelle elle aura la faculté, le cas échéant, d’administrer d’autre modes de preuves que celui par titre, comme, par exemple, l’audition de témoins ou l’expertise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C.________ SA, - M. P.________. La Cour des poursuites et faillites considère que la valeur litigieuse est de 7’010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