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KC18.015579 vom 14. März 2019</w:t>
      </w:r>
    </w:p>
    <w:p>
      <w:r>
        <w:t>VD Tribunal cantonal, 2019-03-14, FR</w:t>
      </w:r>
    </w:p>
    <w:p>
      <w:r>
        <w:rPr>
          <w:b/>
        </w:rPr>
        <w:t xml:space="preserve">Quelle: </w:t>
      </w:r>
      <w:r>
        <w:t>https://mcp.opencaselaw.ch/entscheid/vd_gerichte_KC18.015579</w:t>
      </w:r>
    </w:p>
    <w:p>
      <w:r>
        <w:t>FR: VD_GERICHTE KC18.015579 du 14 mars 2019</w:t>
      </w:r>
    </w:p>
    <w:p>
      <w:r>
        <w:t>IT: VD_GERICHTE KC18.015579 del 14 marzo 2019</w:t>
      </w:r>
    </w:p>
    <w:p>
      <w:pPr>
        <w:pStyle w:val="Heading2"/>
      </w:pPr>
      <w:r>
        <w:t>Erwägungen</w:t>
      </w:r>
    </w:p>
    <w:p>
      <w:r>
        <w:rPr>
          <w:b/>
        </w:rPr>
        <w:t>E. 3</w:t>
      </w:r>
    </w:p>
    <w:p>
      <w:r>
        <w:t>Cst. (Constitution fédérale de la Confédération suisse du 18 avril 1999 ; RS 101). 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w:t>
      </w:r>
    </w:p>
    <w:p>
      <w:r>
        <w:t>- 12 - pouvoir mener un procès qu'elle ne conduirait pas à ses frais, uniquement parce qu'il ne lui coûte rien (ATF 138 III 217 consid. 2.2.4 et les réf. citées ; TF 4A_286/2011 du 30 août 2011 consid. 2). b) En l’espèce, comme on l’a vu, les moyens tirés de l’absence de mention du titre de la créance dans la requête de mainlevée et de l’absence d’une sommation préalable ne se fondaient pas sur des dispositions légales régissant la requête de mainlevée et la poursuite en paiement de loyer. Ils étaient donc dénués de toute pertinence, de sorte que les chances de gagner le recours ne pouvaient être considérées comme sérieuses au sens de la jurisprudence susmentionnée. La demande d’assistance judiciaire doit en conséquence être rejetée. VI. En conclusion, la requête en jonction de causes, le recours, manifestement mal fondé, ainsi que la demande d’assistance judiciaire doivent être rejetés et le prononcé confirmé. Vu le rejet du recours et de la demande d’assistance judiciaire, les frais judiciaires de deuxième instance, arrêtés à 135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