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KC18.015564 vom 14. März 2019</w:t>
      </w:r>
    </w:p>
    <w:p>
      <w:r>
        <w:t>VD Tribunal cantonal, 2019-03-14, FR</w:t>
      </w:r>
    </w:p>
    <w:p>
      <w:r>
        <w:rPr>
          <w:b/>
        </w:rPr>
        <w:t xml:space="preserve">Quelle: </w:t>
      </w:r>
      <w:r>
        <w:t>https://mcp.opencaselaw.ch/entscheid/vd_gerichte_KC18.015564</w:t>
      </w:r>
    </w:p>
    <w:p>
      <w:r>
        <w:t>FR: VD_GERICHTE KC18.015564 du 14 mars 2019</w:t>
      </w:r>
    </w:p>
    <w:p>
      <w:r>
        <w:t>IT: VD_GERICHTE KC18.015564 del 14 marzo 2019</w:t>
      </w:r>
    </w:p>
    <w:p>
      <w:pPr>
        <w:pStyle w:val="Heading2"/>
      </w:pPr>
      <w:r>
        <w:t>Erwägungen</w:t>
      </w:r>
    </w:p>
    <w:p>
      <w:r>
        <w:rPr>
          <w:b/>
        </w:rPr>
        <w:t>E. 3</w:t>
      </w:r>
    </w:p>
    <w:p>
      <w:r>
        <w:t>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 citées ; TF 4A_286/2011 du 30 août 2011 consid. 2). b) En l’espèce, comme on l’a vu, les moyens tirés de l’absence de mention du titre de la créance dans la requête de mainlevée et de l’absence d’une sommation préalable ne se fondaient pas sur des dispositions légales régissant la requête de mainlevée et la poursuite en paiement de loyer. Ils étaient donc dénués de toute pertinence, de sorte que les chances de gagner le recours ne pouvaient être considérées comme sérieuses au sens de la jurisprudence susmentionnée. La demande d’assistance judiciaire doit en conséquence être rejetée. VI. En conclusion, la requête en jonction de causes, le recours, manifestement mal fondé, ainsi que la demande d’assistance judiciaire doivent être rejetés et le prononcé confirmé.</w:t>
      </w:r>
    </w:p>
    <w:p>
      <w:r>
        <w:t>- 13 - Vu le rejet du recours et de la demande d’assistance judiciaire, les frais judiciaires de deuxième instance, arrêtés à 135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