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KC18.007549 vom 28. Dezember 2018</w:t>
      </w:r>
    </w:p>
    <w:p>
      <w:r>
        <w:t>VD Tribunal cantonal, 2018-12-28, FR</w:t>
      </w:r>
    </w:p>
    <w:p>
      <w:r>
        <w:rPr>
          <w:b/>
        </w:rPr>
        <w:t xml:space="preserve">Quelle: </w:t>
      </w:r>
      <w:r>
        <w:t>https://mcp.opencaselaw.ch/entscheid/vd_gerichte_KC18.007549</w:t>
      </w:r>
    </w:p>
    <w:p>
      <w:r>
        <w:t>FR: VD_GERICHTE KC18.007549 du 28 décembre 2018</w:t>
      </w:r>
    </w:p>
    <w:p>
      <w:r>
        <w:t>IT: VD_GERICHTE KC18.007549 del 28 dicembre 2018</w:t>
      </w:r>
    </w:p>
    <w:p>
      <w:pPr>
        <w:pStyle w:val="Heading2"/>
      </w:pPr>
      <w:r>
        <w:t>Erwägungen</w:t>
      </w:r>
    </w:p>
    <w:p>
      <w:r>
        <w:rPr>
          <w:b/>
        </w:rPr>
        <w:t>E. 1</w:t>
      </w:r>
    </w:p>
    <w:p>
      <w:r>
        <w:t>Le 2 octobre 2017, à la réquisition de N.________ Sàrl, l’Office des poursuites du district de la Riviera-Pays-d’Enhaut a notifié à U.________, dans la poursuite n° 8'438'852, un commandement de payer la somme de 119'350 francs avec intérêt à 5 % l’an dès le 19 juin 2017, indiquant comme titre de la créance ou cause de l’obligation : « Reconnaissance de dette du 19 juin 2017 ». Le poursuivi a formé opposition totale.</w:t>
      </w:r>
    </w:p>
    <w:p>
      <w:r>
        <w:rPr>
          <w:b/>
        </w:rPr>
        <w:t>E. 2</w:t>
      </w:r>
    </w:p>
    <w:p>
      <w:r>
        <w:t>a) Par acte du 19 février 2018, la poursuivante a requis du Juge de paix du district de la Riviera-Pays-d’Enhaut qu’il prononce, avec suite de frais et dépens, la mainlevée provisoire de l’opposition à concurrence du montant en poursuite, en capital et intérêt. A l’appui de sa requête, elle a produit, outre le commandement de payer susmentionné, les pièces suivantes : - une procuration ; - un extrait du registre du commerce la concernant ; - un extrait du registre du commerce relatif à I.________ Sàrl en liquidation, dont il ressort que le poursuivi en était, avec M.________, associé-gérant avec signature individuelle et que cette société a été déclarée en faillite le</w:t>
      </w:r>
    </w:p>
    <w:p>
      <w:r>
        <w:rPr>
          <w:b/>
        </w:rPr>
        <w:t>E. 3</w:t>
      </w:r>
    </w:p>
    <w:p>
      <w:r>
        <w:t>octobre 2017 ; - une liste des paiements et des factures associées établie le 18 octobre 2017 par la poursuivante, relative aux factures adressées par celle-ci à I.________ Sàrl durant les années 2011 à 2016 et du 1er janvier au 18 octobre 2017 ;</w:t>
      </w:r>
    </w:p>
    <w:p>
      <w:r>
        <w:t>- 3 - - une copie d’une offre portant sur des travaux de revêtement de sols « parquets » adressée le 13 mars 2013 par la poursuivante à I.________ Sàrl pour un montant de 184'317 fr. 12 TTC ; - une copie d’un contrat d’entreprise signé par la poursuivante et I.________ Sàrl le 16 avril 2014 prévoyant la fourniture par la poursuivante de parquets et de prestations de nettoyage pour un prix forfaitaire de 276'000 fr. net TTC ; - une liste des factures et postes ouverts établie le 4 septembre 2017 par la poursuivante, faisant apparaître un solde ouvert pour I.________ Sàrl en faveur de la poursuivante de 237'265 fr. 90 ; - une liste des séances tenues entre la poursuivante et I.________ Sàrl pour les années 2014 à 2017, établie le 18 octobre 2017 par la poursuivante, faisant état de treize séances et quatre courriers envoyés ou reçus ayant trait au solde des factures impayées et à un plan de paiement ; - une copie d’un échange de courriels entre la poursuivante et I.________ Sàrl des 26 et 27 juillet 2016 relatif à des travaux de nettoyage ; - une copie des comptes audités d’I.________ Sàrl pour les années 2014 et 2015, faisant état d’un bénéfice de 387'230 fr. en 2014 et de 7'242 fr. en 2015, d’actifs circulants d’un montant de 63'233'457 fr. en 2014 et de 28'439'940 francs en 2015, de dettes à court terme de 63'485'836 fr. en 2014 et de 28'244'540 fr. en 2015, ainsi que d’un capital de 726'052 fr. en 2014 et de 733'294 fr. en 2015 ; - une copie d’un courrier d’I.________ Sàrl à la poursuivante du 7 octobre 2016 confirmant que le solde des factures d’un chantier serait réglé à la fin de l’année en cours et lui demandant de lui faire parvenir, dans un délai échéant le 30 novembre 2016, un extrait de l’Office des poursuites la concernant ;</w:t>
      </w:r>
    </w:p>
    <w:p>
      <w:r>
        <w:t>- 4 - - une copie d’un courrier de la poursuivante à I.________ Sàrl du 14 octobre 2016, accusant réception de la lettre du 7 octobre 2016 susmentionnée, relevant des difficultés de coordination sur les chantiers d’I.________ Sàrl et des engagements financiers non tenus, prenant acte de l’engagement de celle-ci d’honorer ses engagements financiers pour un chantier à la fin de l’année en cours, et demandant à I.________ Sàrl de respecter les échéances de paiement d’acomptes de 45'042 fr. 20 le 15 novembre 2016, de 39'672 fr. 85 le 30 novembre 2016, de 28'002 fr. 95 le 15 décembre 2016 et de 33'939 fr. le 31 décembre 2016 ; - une copie d’un courrier de la poursuivante à I.________ Sàrl du 14 octobre 2016 lui communiquant un extrait de l’Office des poursuites attestant qu’elle ne faisait l’objet d’aucune poursuite ; - une copie d’un échange de courriels entre la poursuivante et I.________ Sàrl du 27 octobre 2016 relatif à un virement de cette dernière ; - une copie d’un échange de courriels entre la poursuivante et I.________ Sàrl des 17 et 21 novembre 2016 relatif à la fixation d’une entrevue, à la suite du courriel d’I.________ Sàrl indiquant qu’elle ne pourrait pas respecter le plan de paiement convenu ; - une copie d’un courrier d’I.________ Sàrl à la poursuivante du 9 janvier 2017 exposant qu’elle travaillait à flux tendus au niveau financier et que tous ses services étaient à l’œuvre afin de lui proposer des plans de paiement dans les meilleurs délais ; - une copie d’un échange de courriels entre la poursuivante et I.________ Sàrl des 13 et 14 février 2017 dans lequel cette dernière annonce un virement de 3'500 fr. sur les 40'000 fr. dus et la poursuivante lui annonce qu’elle n’est plus en mesure de lui accorder plus de délais pour les postes ouverts ; - une copie d’une « reconnaissance de dette » du 27 mars 2017 établie sur papier à en-tête de la poursuivante, libellée comme il suit :</w:t>
      </w:r>
    </w:p>
    <w:p>
      <w:r>
        <w:t>- 5 - « Nous soussignés, MM. U.________, de [...], Associé-Gérant/Président et M.________, [...], Associé-Gérant, reconnaissons devoir la somme de CHF 253'139.50 (deux cents cinquante-trois mille cent trente-neuf et 50/100) à la société N.________ Sàrl (cf. document N.________ Sàrl / liste des factures et postes ouverts du 27.03.2017). Nous nous engageons à rembourser cette somme de la façon suivante : - CHF 100'000.00 d’ici au 31 mars 2017 - CHF 153'139.50 d’ici au 15 avril 2017 Passé ce délai, N.________ Sàrl et I.________ Sàrl discuteront conjointement d’un ajournement du règlement de la créance. Toutefois, N.________ Sàrl se réserve le droit de procéder à toutes les mesures légales nécessaires afin de récupérer cette somme. Ce document, signé, a valeur de reconnaissance de dette au sens de l’art. 82 LP (loi fédérale sur la poursuite pour dettes et la faillite) Fait à [...] le 27 mars 2017 I.________ Sàrl : N.________ Sàrl : U.________ [signature]G.________ [signature] M.________ [signature] B.________ [signature] » - une liste des factures et postes ouverts établie le 27 mars 2017 par la poursuivante, faisant apparaître un solde ouvert pour I.________ Sàrl en faveur de la poursuivante de 253'139 fr. 50 ; - une copie d’une « reconnaissance de dette » du 19 juin 2017 établie sur papier à en-tête de la poursuivante, libellée comme il suit : « Nous soussignés MM. U.________, de [...], Associé-Gérant/Président et M.________, [...], Associé-Gérant, reconnaissons devoir la somme de CHF 271'293.90 (deux cents septante-et-un mille deux cents nonante-trois et</w:t>
      </w:r>
    </w:p>
    <w:p>
      <w:r>
        <w:t>- 6 - 90/100) à la société N.________ Sàrl (cf. document « Débiteurs – Liste des factures et postes ouverts » du 19.06.2017). Sur ce montant, CHF 151'943.10 (cent cinquante-et-un mille neuf cents quarante-trois et 10/100) sont échus à ce jour et seront réglé comme suit : CHF 35'000.00 d’ici au 20 juin 2017 CHF 116'943.10 dès la fin des travaux sur le projet [...], moyennant un délai de</w:t>
      </w:r>
    </w:p>
    <w:p>
      <w:r>
        <w:rPr>
          <w:b/>
        </w:rPr>
        <w:t>E. 5</w:t>
      </w:r>
    </w:p>
    <w:p>
      <w:r>
        <w:t>Par acte du 26 novembre 2018, la poursuivante a recouru contre ce prononcé en concluant, avec suite de frais et dépens,</w:t>
      </w:r>
    </w:p>
    <w:p>
      <w:r>
        <w:t>- 9 - principalement à son annulation et, subsidiairement à ce que la mainlevée à la poursuite en cause soit accordée.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Le premier juge a considéré qu'il était vraisemblable que l'engagement pris par l'intimé relève du contrat de cautionnement et soit nul faute d'avoir été passé en la forme authentique. La recourante soutient que cet engagement constituerait une reprise cumulative de dette. a)aa)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w:t>
      </w:r>
    </w:p>
    <w:p>
      <w:r>
        <w:t>- 10 - vraisemblables ses moyens libératoires (ATF 142 III 720 consid. 4.1 ; ATF 132 III 140 consid. 4.1.1 et les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 cit.).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ATF 136 III 624 consid. 4.2.2; ATF 136 III 627 consid. 2). Le poursuivi peut se prévaloir de tous les moyens de droit civil – exceptions ou objections – qui infirment la reconnaissance de dette (ATF 142 III 720 consid. 4.1 ; ATF 136 III 624 consid. 4.2.1; TF 5A_434/2015 du 21 août 2015 consid. 6.1.2, SJ 2016 I 49 ; TF 5A_389/2016 du 21 septembre 2016 consid. 3.1.1), en principe par pièces (art. 254 al. 1 CPC (TF 5A_361/2016 du 16 janvier 2017 consid. 3.2). Il peut invoquer un vice de forme concernant la créance (TF 5A_944/2016 du 31 août 2017 consid. 2.2), notamment les règles de formes imposées par l'art. 493 CO pour la validité d'un acte de cautionnement (TF 5A_849/2012 du 25 juin 2013 consid. 2.1). Lorsque le débiteur invoque la nullité du titre (par exemple en raison d’un vice de forme), le juge de la mainlevée peut se limiter à un examen sommaire (TF 5A_205/2015 du 22 octobre 2015 consid. 6.2). Il suffit que le poursuivi rende immédiatement vraisemblables ses moyens libératoires (ATF 132 III 140 consid. 4.1.1).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w:t>
      </w:r>
    </w:p>
    <w:p>
      <w:r>
        <w:t>- 11 - bb) Il y a solidarité entre plusieurs débiteurs lorsqu’ils déclarent s’obliger de manière qu’à l’égard du créancier, chacun d’eux soit tenu pour le tout (art. 143 al. 1 CO [Code des obligations du 30 mars 1911 ; RS 220)).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2e éd., n. 5 ad art. 143 CO). Conformément à l’art. 1 al. 2 CO, l’engagement solidaire peut se former par actes concluants ou tacitement. L’engagement solidaire est dit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 cit.). Dès lors que celui qui se porte fort assume une obligation indépendante, celle-ci peut exister même si le tiers n'est pas débiteur du bénéficiaire ou si son obligation est nulle ou invalidée (TF 4A_290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w:t>
      </w:r>
    </w:p>
    <w:p>
      <w:r>
        <w:t>- 12 - 535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w:t>
      </w:r>
    </w:p>
    <w:p>
      <w:r>
        <w:t>- 13 - sûreté ne constitue pas l’élément essentiel de la cause de l’obligation découlant de la reprise cumulative de dette, même si une telle reprise a toujours un certain effet de garantie (ATF 129 III 702 consid. 2.2, JdT 2004 I 535).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w:t>
      </w:r>
    </w:p>
    <w:p>
      <w:r>
        <w:t>- 14 -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w:t>
      </w:r>
    </w:p>
    <w:p>
      <w:r>
        <w:t>- 15 -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4A.24/2007 du 26 avril 2007 consid. 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les réf. cit.).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 c) En l'espèce, la reconnaissance de dette litigieuse a la teneur suivante : "Messieurs U.________ et M.________ se portent caution à titre privé et de manière solidaire pour la créance ouverte. Dès lors, N.________ Sàrl se réserve le droit de procéder à toutes les mesures légales nécessaires afin de récupérer cette somme si la société I.________ Sàrl venait à ne pas tenir ses engagements financiers." La volonté réelle des parties n'est pas établie et l’acte doit être interprété selon le principe de la bonne foi. Le texte de la reconnaissance de dette indique expressément que le poursuivi se porte "caution à titre privé". En outre, son engagement</w:t>
      </w:r>
    </w:p>
    <w:p>
      <w:r>
        <w:t>- 16 - se limitait à l'hypothèse où la société I.________ Sàrl venait à ne pas tenir ses engagements, ce qui révèle le caractère accessoire de l'engagement pris, comme le premier juge l'a retenu, le but étant de garantir la solvabilité d’I.________ Sàrl et non de créer une obligation propre et indépendante du poursuivi, respectivement de permettre à la partie poursuivante d'agir à sa guise contre ce dernier ou la société. Certes, l'engagement précise que le poursuivi et M.________ se portent "caution à titre privé et de manière solidaire pour la créance ouverte". La seule indication de la solidarité ne permet pas de retenir un engagement indépendant, car le cautionnement peut être solidaire (art. 496 CO). La présente espèce se distingue des cas cités par la recourante, en particulier de l'arrêt TF 4A.24/2007 du 26 avril 2007 consid. 5, en ce sens que l'intimé ne s'est pas déclaré codébiteur solidaire de la dette principale, mais uniquement caution solidaire de celle-ci. Cela étant, il faut également relever qu'au vu de la jurisprudence précitée, le seul fait de s'engager en qualité de codébiteur solidaire ne serait de toute manière pas suffisant. Rien n'indique que l'intimé serait expérimenté en affaires au sens de la jurisprudence et la recourante ne le prétend pas. Si, en sa qualité d'associé gérant d’I.________ Sàrl, l'intimé a un certain intérêt à la cause, le texte souscrit ne permet aucunement de retenir qu'il voulait visiblement s'engager en vertu de la même cause dans le contrat liant le débiteur principal, ce texte révélant bien plutôt une volonté d'engagement accessoire. A tout le moins, dans la mesure où la qualification de cautionnement doit être privilégiée en cas de doute sur la portée de l'engagement, il apparaît vraisemblable, au stade de la mainlevée, que l'accord passé par les parties le 19 juin 2017 doive être qualifié de cautionnement, comme retenu par le premier juge, partant que cet engagement est nul faute d’avoir été passé en la forme authentique (art. 493 al. 2 CO). III. En conclusion, le recours, manifestement mal fondé, doit être rejeté et le prononcé confirmé.</w:t>
      </w:r>
    </w:p>
    <w:p>
      <w:r>
        <w:t>- 17 - Vu le rejet du recours, les frais judiciaires de deuxième instance, arrêtés à 900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