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KC18.002997 vom 19. Juli 2018</w:t>
      </w:r>
    </w:p>
    <w:p>
      <w:r>
        <w:t>VD Tribunal cantonal, 2018-07-19, FR</w:t>
      </w:r>
    </w:p>
    <w:p>
      <w:r>
        <w:rPr>
          <w:b/>
        </w:rPr>
        <w:t xml:space="preserve">Quelle: </w:t>
      </w:r>
      <w:r>
        <w:t>https://mcp.opencaselaw.ch/entscheid/vd_gerichte_KC18.002997</w:t>
      </w:r>
    </w:p>
    <w:p>
      <w:r>
        <w:t>FR: VD_GERICHTE KC18.002997 du 19 juillet 2018</w:t>
      </w:r>
    </w:p>
    <w:p>
      <w:r>
        <w:t>IT: VD_GERICHTE KC18.002997 del 19 luglio 2018</w:t>
      </w:r>
    </w:p>
    <w:p>
      <w:pPr>
        <w:pStyle w:val="Heading2"/>
      </w:pPr>
      <w:r>
        <w:t>Volltext</w:t>
      </w:r>
    </w:p>
    <w:p>
      <w:r>
        <w:t>TRIBUNAL CANTONAL KC18.002997-180828 155 CO UR DE S P OURSUITES ET FAILL ITES ________________________________________________ Arrêt du 19 juillet 2018 ___________________ Composition :Mme BYRDE, présidente MM. Colombini et Hack, juges Greffier : M. Elsig ***** Art. 321 al 1 CPC Vu le prononcé non motivé rendu le 13 avril 2018, à la suite de l’audience du même jour, par le Juge de paix du district de Lausanne, notifié au poursuivant le 9 mai 2018, rejetant la requête de mainlevée déposée par H.________, à [...], dans la poursuite n° 8'515'000 de l’Office des poursuites du district de Lausanne exercée par le recourant contre T.________ SÀRL, à [...], fixant les frais judiciaires à 150 fr., les mettant à la charge du poursuivant et n’allouant pas de dépens, vu la demande de motivation de ce prononcé déposée le 15 mai 2018 par le poursuivant, 111</w:t>
      </w:r>
    </w:p>
    <w:p>
      <w:r>
        <w:t>- 2 - vu les motifs du prononcé adressés aux parties le 29 mai 2018 et notifiés au poursuivant le 31 mai 2018, vu le recours interjeté le 4 juin 2018 contre ce prononcé par la poursuivant, concluant implicitement à l’admission de sa requête, vu les pièces produites à l’appui du recours, vu les autres pièces du dossier ; attendu que la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w:t>
      </w:r>
    </w:p>
    <w:p>
      <w:r>
        <w:t>- 3 -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qu’il a effectué correctement les travaux, qu’aucune remarque n’a été émise sur ceux-ci dans les deux mois qui ont suivi les travaux, qu’après des pourparlers au sujet des modalités de paiement du prix, l’intimée a refusé de payer, prétextant que des retouches devaient être faites et que ces retouches ont été effectuées, que ce faisant, le recourant ne remet nullement en cause la motivation du prononcé selon laquelle il n’a pas produit une reconnaissance de dette signée par l’intimée portant sur le montant réclamé, condition posée par l’art. 82 LP (loi fédérale du 11 avril 1889 sur la poursuite pour dettes et la faillite ; RS 281.1) à l’octroi de la mainlevée provisoire, que le recours ne satisfait pas aux exigences de motivation posées par l’art. 321 al. 1 CPC et la jurisprudence susmentionnée, qu’il est en conséquence irrecevable ; attendu qu’au demeurant, s’il devait être tenu pour recevable, le recours devrait être rejeté, qu’en effet la procédure de mainlevée provisoire n’a pas pour objet de constater la réalité d’une créance, mais l’existence d’une reconnaissance de dette, que le dossier ne contient effectivement aucune reconnaissance de dette signée par la partie poursuivie,</w:t>
      </w:r>
    </w:p>
    <w:p>
      <w:r>
        <w:t>- 4 - que le recourant peut encore réclamer le paiement des travaux en cause en déposant, non pas une requête de mainlevée provisoire, mais une demande en reconnaissance de dette devant le juge ordinaire, procédure dans laquelle il aura la faculté, le cas échéant, d’administrer d’autre modes de preuves que celui par titre, comme, par exemple, l’audition de témoins ou l’expertise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H.________, - T.________ Sàrl.</w:t>
      </w:r>
    </w:p>
    <w:p>
      <w:r>
        <w:t>- 5 - La Cour des poursuites et faillites considère que la valeur litigieuse est de 1'439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