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KC17.050538 vom 24. Mai 2018</w:t>
      </w:r>
    </w:p>
    <w:p>
      <w:r>
        <w:t>VD Tribunal cantonal, 2018-05-24, FR</w:t>
      </w:r>
    </w:p>
    <w:p>
      <w:r>
        <w:rPr>
          <w:b/>
        </w:rPr>
        <w:t xml:space="preserve">Quelle: </w:t>
      </w:r>
      <w:r>
        <w:t>https://mcp.opencaselaw.ch/entscheid/vd_gerichte_KC17.050538</w:t>
      </w:r>
    </w:p>
    <w:p>
      <w:r>
        <w:t>FR: VD_GERICHTE KC17.050538 du 24 mai 2018</w:t>
      </w:r>
    </w:p>
    <w:p>
      <w:r>
        <w:t>IT: VD_GERICHTE KC17.050538 del 24 maggio 2018</w:t>
      </w:r>
    </w:p>
    <w:p>
      <w:pPr>
        <w:pStyle w:val="Heading2"/>
      </w:pPr>
      <w:r>
        <w:t>Volltext</w:t>
      </w:r>
    </w:p>
    <w:p>
      <w:r>
        <w:t>TRIBUNAL CANTONAL KC17.050538-180473 82 CO UR DE S P OURSUITES ET FAILL ITES ________________________________________________ Arrêt du 24 mai 2018 _________________ Composition :Mme BYRDE, présidente MM. Hack et Maillard, juges Greffier : M. Elsig ***** Art. 321 al. 1 et 2 CPC Vu le prononcé non motivé rendu le 7 février 2018, à la suite de l’interpellation du poursuivi, par le Juge de paix du district de Lausanne, notifié au poursuivi le 16 février 2018, prononçant la mainlevée définitive de l’opposition formée par U.________, à [...], à la poursuite n° 8'447'687 de l’Office des poursuites du district de Lausanne exercée par l’ETAT DE VAUD, représenté par le Service de prévoyance et d’aide sociales, BRAPA, à Lausanne, fixant les frais judiciaires à 360 fr., les mettant à la charge du poursuivi et disant qu’en conséquence, celui-ci rembourserait au poursuivant son avance de frais, par 360 fr., sans allocation de dépens pour le surplus, 111</w:t>
      </w:r>
    </w:p>
    <w:p>
      <w:r>
        <w:t>- 2 - vu la demande de motivation de ce prononcé, déposée le 20 février 2018 par le poursuivi, vu les motifs du prononcé adressés aux parties le 8 mars 2018 et notifiés au poursuivi le 10 mars 2018, corrigeant les chiffre II et IV du dispositif du 7 février 2018 en ce sens que les frais judiciaires sont arrêtés à 180 fr., de même que le montant dû par le poursuivi à titre de remboursement de l’avance de frais, vu le recours déposé le 26 mars 2018 par le poursuivi et les pièces l’accompagnant, vu l’écriture du recourant reçue le 1er mai 2018, vu les autres pièces du dossier ; attendu que selon l’art. 321 al. 2 CPC (Code de procédure civile du 19 décembre 2008 ; RS 272), applicable en matière sommaire de poursuites, le délai de recours est de dix jours dès la notification de la motivation de la décision, qu’en l’espèce, les motifs du prononcé ont été notifiés au poursuivi le 10 mars 2018, que le délai de recours est donc arrivé à échéance le mardi 20 mars 2018, que le recours, déposé le 26 mars 2018 et l’écriture complémentaire reçue le 1er mai 2018 sont donc tardives et partant irrecevables, qu’au vu du caractère manifeste de la tardiveté, il n’est pas nécessaire d’interpeller le recourant sur ce point (TF 5A_28/2015 du 22 mai 2015 consid. 3.1.1 et les références citées, Revue suisse de procédure</w:t>
      </w:r>
    </w:p>
    <w:p>
      <w:r>
        <w:t>- 3 - civile [RSPC] 2015 p. 398 ; TF 1C_85/2007 du 6 septembre 2007 consid. 3.2 ; TF 1P.254/2006 du 4 août 2006 consid. 2.2) ; attendu qu’au demeurant la partie qui entend user d'une voie de droit a la charge de se conformer à certaines règles de forme, à défaut de quoi sa démarche sera frappée d'irrecevabilité (Jeandin, in Bohnet/Haldy/Jeandin/ 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ses écritures reçue les 26 mars et 1er mai 2108, le recourant manifeste son incompréhension quant au calcul du montant qui lui est réclamé et fait valoir qu’il n’a pas vécu séparé de son épouse durant la période en cause, mais n’émet aucune critique à</w:t>
      </w:r>
    </w:p>
    <w:p>
      <w:r>
        <w:t>- 4 - l’encontre de la motivation de prononcé selon laquelle l’intimé est au bénéfice de prononcés de mesures protectrices de l’union conjugale valant titres à la mainlevée définitive et d’une cession de créance de la part de la créancière des pensions, que ces écritures sont donc également irrecevables pour défaut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U.________, - Service de prévoyance et d’aide sociale, BRAPA (pour Etat de Vaud).</w:t>
      </w:r>
    </w:p>
    <w:p>
      <w:r>
        <w:t>- 5 - La Cour des poursuites et faillites considère que la valeur litigieuse est de 7'400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