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KC17.034116 vom 27. April 2018</w:t>
      </w:r>
    </w:p>
    <w:p>
      <w:r>
        <w:t>VD Tribunal cantonal, 2018-04-27, FR</w:t>
      </w:r>
    </w:p>
    <w:p>
      <w:r>
        <w:rPr>
          <w:b/>
        </w:rPr>
        <w:t xml:space="preserve">Quelle: </w:t>
      </w:r>
      <w:r>
        <w:t>https://mcp.opencaselaw.ch/entscheid/vd_gerichte_KC17.034116</w:t>
      </w:r>
    </w:p>
    <w:p>
      <w:r>
        <w:t>FR: VD_GERICHTE KC17.034116 du 27 avril 2018</w:t>
      </w:r>
    </w:p>
    <w:p>
      <w:r>
        <w:t>IT: VD_GERICHTE KC17.034116 del 27 aprile 2018</w:t>
      </w:r>
    </w:p>
    <w:p>
      <w:pPr>
        <w:pStyle w:val="Heading2"/>
      </w:pPr>
      <w:r>
        <w:t>Volltext</w:t>
      </w:r>
    </w:p>
    <w:p>
      <w:r>
        <w:t>TRIBUNAL CANTONAL KC17.034116-180409 65 CO UR DE S P OURSUITES ET FAILL ITES ________________________________________________ Arrêt du 27 avril 2018 __________________ Composition :Mme BYRDE, présidente Mme Rouleau et M. Maillard, juges Greffier : M. Elsig ***** Art. 321 al. 1 CPC Vu le prononcé non motivé rendu le 26 septembre 2017, à la suite de l’interpellation du poursuivi, par le Juge de paix du district de Lausanne, notifié au poursuivi le 1er novembre 2017, prononçant la mainlevée définitive de l’opposition formée par F.________, à [...], à la poursuite n° 8'303'926 de l’Office des poursuites du district de Lausanne intentée par CAISSE V.________, à [...], fixant les frais judiciaires à 180 fr., les mettant à la charge du poursuivi et disant qu’en conséquence celui-ci rembourserait à la poursuivante son avance de frais, par 180 fr., sans allocation de dépens pour le surplus, 111</w:t>
      </w:r>
    </w:p>
    <w:p>
      <w:r>
        <w:t>- 2 - vu l’écriture du poursuivi du 6 novembre 2017 indiquant que son frère s’engageait à s’acquitter de la créance objet de la poursuite, que des contacts avaient été pris avec la poursuivante et demandant à être libéré de la poursuite en cause, vu l’écriture du poursuivi du 20 novembre 2017 confirmant que son acte du 6 novembre 2017 devait être considéré comme un recours, vu les motifs du prononcé adressés aux parties le 1er février 2018 et notifiés au poursuivi le 7 février 2018,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w:t>
      </w:r>
    </w:p>
    <w:p>
      <w:r>
        <w:t>- 3 - qu’en l’espèce, le dispositif du prononcé a été notifié au recourant le 1er novembre 2017, que le recours, déposé le 6 novembre 2017,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w:t>
      </w:r>
    </w:p>
    <w:p>
      <w:r>
        <w:t>- 4 - qu’en l’espèce, le recourant fait valoir que son frère s’est engagé à régler la dette en cause, que ce faisant, il ne remet nullement en cause la motivation du prononcé, selon laquelle l’intimée est au bénéfice d’un titre de mainlevée définitive et qu’il n’a établi aucun moyen libératoire, que le recours du 6 novembre 2017 ne remplit pas les exigences de l’art. 321 al. 1 CPC et de la jurisprudence susmentionnée, qu’il est en conséquence irrecevable ; attendu qu’au demeurant, l’engagement du frère du recourant n’est pas de nature à modifier le prononcé attaqué, car l’art. 176 al. 1 CO (Code des obligations du 30 mars 1911 ; RS 220) exige que la reprise de dette fasse l’objet d’un contrat entre le reprenant et le créancier pour qu’elle libère le cédant (ATF 134 III 597), contrat que le recourant n’a pas établi, qu’à supposer recevable, le recours aurait ainsi dû être rejeté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présidente : Le greffier : Du L'arrêt qui précède, dont la rédaction a été approuvée à huis clos, est notifié, par l'envoi de photocopies, à : - M. F.________, - Caisse V.________. La Cour des poursuites et faillites considère que la valeur litigieuse est de 4'462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