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KC17.030466 vom 29. Dezember 2017</w:t>
      </w:r>
    </w:p>
    <w:p>
      <w:r>
        <w:t>VD Tribunal cantonal, 2017-12-29, FR</w:t>
      </w:r>
    </w:p>
    <w:p>
      <w:r>
        <w:rPr>
          <w:b/>
        </w:rPr>
        <w:t xml:space="preserve">Quelle: </w:t>
      </w:r>
      <w:r>
        <w:t>https://mcp.opencaselaw.ch/entscheid/vd_gerichte_KC17.030466</w:t>
      </w:r>
    </w:p>
    <w:p>
      <w:r>
        <w:t>FR: VD_GERICHTE KC17.030466 du 29 décembre 2017</w:t>
      </w:r>
    </w:p>
    <w:p>
      <w:r>
        <w:t>IT: VD_GERICHTE KC17.030466 del 29 dicembre 2017</w:t>
      </w:r>
    </w:p>
    <w:p>
      <w:pPr>
        <w:pStyle w:val="Heading2"/>
      </w:pPr>
      <w:r>
        <w:t>Erwägungen</w:t>
      </w:r>
    </w:p>
    <w:p>
      <w:r>
        <w:rPr>
          <w:b/>
        </w:rPr>
        <w:t>E. 1</w:t>
      </w:r>
    </w:p>
    <w:p>
      <w:r>
        <w:t>Le 12 mai 2017, à la réquisition de X.________ SA, l’Office des poursuites du district de Nyon a notifié à E.________ Sàrl, dans la poursuite n° 8'287'820, un commandement de payer les sommes de 1) 1'338 fr. 85 avec intérêt à 9 % l’an dès le 11 novembre 2016 de 2) 10 fr. 80 sans intérêt et de 3) 270 fr. sans intérêt, indiquant comme titre de la créance ou cause de l’obligation : « 1. Facture n° [...] du 12.10.2016</w:t>
      </w:r>
    </w:p>
    <w:p>
      <w:r>
        <w:rPr>
          <w:b/>
        </w:rPr>
        <w:t>E. 2</w:t>
      </w:r>
    </w:p>
    <w:p>
      <w:r>
        <w:t>Frais du créancier</w:t>
      </w:r>
    </w:p>
    <w:p>
      <w:r>
        <w:rPr>
          <w:b/>
        </w:rPr>
        <w:t>E. 3</w:t>
      </w:r>
    </w:p>
    <w:p>
      <w:r>
        <w:t>Par prononcé non motivé du 10 août 2017, rendu par défaut des parties à l’audience du même jour, le Juge de paix du district de Nyon a rejeté la requête de mainlevée (II), a fixé les frais judiciaires à 150 fr. (III), les a mis à la charge de la poursuivante (III) et n’a pas alloué de dépens (IV). Ce prononcé a été notifié à la poursuivante le 14 août 2017. Le 15 août 2017, la poursuivante a demandé la motivation de ce prononcé.</w:t>
      </w:r>
    </w:p>
    <w:p>
      <w:r>
        <w:t>- 5 - Les motifs du prononcé ont été adressés aux parties le 20 octobre 2017 et notifiés à la poursuivante le 23 octobre 2017. En substance, le premier juge a reconnu avoir omis une pièce valant titre à la mainlevée lorsqu’il avait statué et a considéré que cette erreur ne pouvait pas être corrigée dans le cadre de la motivation.</w:t>
      </w:r>
    </w:p>
    <w:p>
      <w:r>
        <w:rPr>
          <w:b/>
        </w:rPr>
        <w:t>E. 4</w:t>
      </w:r>
    </w:p>
    <w:p>
      <w:r>
        <w:t>Par acte du 25 octobre 2017, la poursuivante a recouru contre le prononcé précité, en concluant, avec suite de frais et dépens, principalement à sa réforme en ce sens que la mainlevée provisoire est prononcée à hauteur de 1'338 francs 85 plus intérêts à 9% dès le 11 novembre 2016, subsidiairement à son annulation, la cause étant renvoyée au juge de paix pour nouvelle décision dans le sens des considérants. Elle a produit un bordereau de pièces. L’intimée E.________ Sàrl ne s’est pas déterminée dans le délai imparti. En d roit : I. Le recours, écrit et motivé, a été déposé dans les formes requises (art. 321 al. 1 CPC [Code de procédure civile; RS 272]) et en temps utile, dans le délai de dix jours suivant la notification de la décision motivée (art. 321 al. 2 CPC). Il est ainsi recevable. Il en va de même des pièces produites qui ne sont pas nouvelles. II. La recourante soutient que sa facture du 12 octobre 2016 d’un montant de 1'338 fr. 85, signée par l’intimée, vaut reconnaissance de dette et constitue un titre à la mainlevée provisoire.</w:t>
      </w:r>
    </w:p>
    <w:p>
      <w:r>
        <w:t>- 6 - a) En vertu de l'art. 82 LP (loi fédérale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p. 446/447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w:t>
      </w:r>
    </w:p>
    <w:p>
      <w:r>
        <w:t>- 7 -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Une facture signée (unterzeichnete Rechnung) sans réserve ni conditions par le débiteur remplit les conditions de l’art. 82 al. 1 LP (TF 5A_577/2013 du 7 octobre 2013 consid. 4.2 ; CPF 22 juillet 2013/302 ; Veuillet, La mainlevée de l’opposition, Abbet/Veuillet éd., n. 38 ad art. 82 LP ; Krauskopf, La mainlevée provisoire : quelques jurisprudences récentes, in JdT 2008 II 23 ss, p. 32 ; Staehelin, in Basler Kommentar, SchKG I, 2e éd., 2010, n. 23 ad art. 82 SchKG [LP]). Il importe peu que la mention « pour accord » ne figure pas à côté de la signature du poursuivi (TF 5A_577/2013 du 7 octobre 2013 consid. 4.2.2 ; CPF 22 juillet 2013/302 ; Veuillet, op. cit., n. 38 ad art. 82 LP). b) En l’espèce, la recourante a produit un ordre d’atelier ainsi qu’un ordre de réparation et de service aux termes desquels l’intimée autorise notamment la recourante à effectuer des travaux sur son véhicule à concurrence de 1500 francs. Ces deux documents ont été signés le 10 octobre 2016. Il n’est pas contesté que ces signatures émanent d’un représentant autorisé de l’intimée. La recourante a également produit une facture n° [...] établie le 12 octobre 2016 à l’attention de l’intimée portant sur un montant total de 1'338 fr. 85 pour les travaux effectués. Cette pièce porte une signature qui, sans être tout-à-fait identique, est néanmoins semblable à celles qui figurent sur les ordres susmentionnés. L’intimée ne conteste par ailleurs pas qu’il s’agit de la signature de son même représentant. On doit donc considérer que cette facture a bien été signée par l’intimée, sans réserve ni conditions. Elle vaut par conséquent titre à la mainlevée provisoire pour</w:t>
      </w:r>
    </w:p>
    <w:p>
      <w:r>
        <w:t>- 8 - le montant de 1338 fr. 85, ce que le premier juge a du reste reconnu dans le cadre de sa motivation. c) Aux termes de l'art. 104 al. 1 CO (Code des obligations ; RS 220), le débiteur qui est en demeure pour le paiement d'une somme d'argent doit l'intérêt moratoire à 5 % l'an, même si un taux inférieur avait été fixé pour l'intérêt conventionnel. Cette règle est de droit dispositif. Le taux peut ainsi être modifié conventionnellement aussi bien vers le haut que vers le bas (Thévenoz, Commentaire romand, n. 13 ad art. 104 CO et les réf. citées). Le débiteur d’une obligation exigible est mis en demeure par l’interpellation du créancier (art. 102 al. 1 CO). Selon la doctrine majoritaire, l’envoi d’une facture avec un délai de paiement s’interprète comme une interpellation à terme, car le débiteur peut en déduire qu’il doit fournir la prestation au terme de ce délai (Weber, Commentaire bernois, n. 68 3ème tiret et n. 76 ad art. 102 CO, pp. 392 et 395 et les réf. cit. ; Thévenoz, Commentaire romand, n. 24 ad art. 102 CO ; Wiegand, Commentaire bâlois, 6e éd., n. 9 ad art. 102 CO ; Spahr, l’intérêt moratoire, conséquence de la demeure, RVJ 1990, p. 357 ; RVJ 1992, p. 346 ; CPF 5 mars 2015/56 ; CPF 1er mai 2014/163). d) En l’espèce, il ne ressort pas des documents produits que les parties auraient convenu d’un intérêt moratoire de 9% comme le requiert la recourante de sorte qu’il convient de s’en tenir au taux de 5% fixé par la loi. La facture du 12 octobre 2016 était payable « net à 30 jours », soit au 12 novembre 2016 si on admet que l’intimée l’a reçue le 13 octobre. Il se justifie dès lors d’allouer un intérêt moratoire de 5 % dès le 13 novembre 2016. III. En conclusion, le recours doit donc être partiellement admis et le prononcé réformé en ce sens que la mainlevée provisoire de l’opposition</w:t>
      </w:r>
    </w:p>
    <w:p>
      <w:r>
        <w:t>- 9 - est prononcée à concurrence de 1’338 fr. 85 plus intérêts à 5% l’an dès le 13 novembre 2016. En première instance, la recourante avait conclu à la mainlevée provisoire à concurrence des montants en poursuite, soit de 1’338 fr. 85 plus intérêts à 9% dès le 11 novembre 2016, de 10 fr. 80 sans intérêt et de 270 fr. sans intérêt. Elle n’obtient donc que partiellement gain de cause. Il se justifie dès lors de laisser un cinquième des frais de première instance, soit 30 fr., à sa charge et de lui allouer des dépens réduits dans la même proportion, arrêtés à 300 francs. En deuxième instance, la recourante obtient l’essentiel de ses conclusions. On peut dès lors considérer qu’elle obtient gain de cause et qu’elle a droit à de pleins dépens. Selon l’art. 106 al. 1 CPC, les dépens sont mis à la charge de la partie qui succombe. La règle reste valable si le défendeur ou l’intimé ne prend pas de conclusions expresses en rejet des prétentions adverses (Tappy, Code de procédure civile commenté, n. 22 ad art. 106 CPC ; CPF 18 janvier 2016/26). L’intimée devra donc verser à la recourante des dépens arrêtés à 400 francs. Elle devra également lui rembourser son avance de frais à concurrence de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