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KC17.028415 vom 3. August 2018</w:t>
      </w:r>
    </w:p>
    <w:p>
      <w:r>
        <w:t>VD Tribunal cantonal, 2018-08-03, FR</w:t>
      </w:r>
    </w:p>
    <w:p>
      <w:r>
        <w:rPr>
          <w:b/>
        </w:rPr>
        <w:t xml:space="preserve">Quelle: </w:t>
      </w:r>
      <w:r>
        <w:t>https://mcp.opencaselaw.ch/entscheid/vd_gerichte_KC17.028415</w:t>
      </w:r>
    </w:p>
    <w:p>
      <w:r>
        <w:t>FR: VD_GERICHTE KC17.028415 du 3 août 2018</w:t>
      </w:r>
    </w:p>
    <w:p>
      <w:r>
        <w:t>IT: VD_GERICHTE KC17.028415 del 3 agosto 2018</w:t>
      </w:r>
    </w:p>
    <w:p>
      <w:pPr>
        <w:pStyle w:val="Heading2"/>
      </w:pPr>
      <w:r>
        <w:t>Erwägungen</w:t>
      </w:r>
    </w:p>
    <w:p>
      <w:r>
        <w:rPr>
          <w:b/>
        </w:rPr>
        <w:t>E. 5</w:t>
      </w:r>
    </w:p>
    <w:p>
      <w:r>
        <w:t>janvier 2007 n'était pas prescrite. Le grief doit par conséquent être rejeté. V. Vu ce qui précède, le recours doit être rejeté et le prononcé confirmé. Les frais de deuxième instance, arrêtés à 630 fr., sont mis à la charge du recourant qui succombe (art. 106 al. 2 CPC). Celui-ci doit en outre verser à l'intimé des dépens de deuxième instance, fixés à 1'500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