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KC17.016265 vom 27. Oktober 2017</w:t>
      </w:r>
    </w:p>
    <w:p>
      <w:r>
        <w:t>VD Tribunal cantonal, 2017-10-27, FR</w:t>
      </w:r>
    </w:p>
    <w:p>
      <w:r>
        <w:rPr>
          <w:b/>
        </w:rPr>
        <w:t xml:space="preserve">Quelle: </w:t>
      </w:r>
      <w:r>
        <w:t>https://mcp.opencaselaw.ch/entscheid/vd_gerichte_KC17.016265</w:t>
      </w:r>
    </w:p>
    <w:p>
      <w:r>
        <w:t>FR: VD_GERICHTE KC17.016265 du 27 octobre 2017</w:t>
      </w:r>
    </w:p>
    <w:p>
      <w:r>
        <w:t>IT: VD_GERICHTE KC17.016265 del 27 ottobre 2017</w:t>
      </w:r>
    </w:p>
    <w:p>
      <w:pPr>
        <w:pStyle w:val="Heading2"/>
      </w:pPr>
      <w:r>
        <w:t>Volltext</w:t>
      </w:r>
    </w:p>
    <w:p>
      <w:r>
        <w:t>TRIBUNAL CANTONAL KC17.016265-171652 256 CO UR DE S P OURSUITES ET FAILL ITES ________________________________________________ Arrêt du 27 octobre 2017 ____________________ Composition :Mme BYRDE, vice-présidente MM. Colombini et Maillard, juges Greffier : Mme Debétaz Ponnaz ***** Art. 321 al. 1 CPC Vu le prononcé rendu le 5 juillet 2017, à la suite de l’interpellation de la partie poursuivie, par le Juge de paix du district de La Riviera-Pays-d’Enhaut, prononçant la mainlevée définitive, à concurrence de 280'000 fr., plus intérêts au taux de 5% l’an dès le 16 février 2017, de l’opposition formée par A.T.________, à [...], à la poursuite ordinaire n° 8’173'441 de l’Office des poursuites du district de La Riviera-Pays- d’Enhaut exercée contre lui à l’instance de B.T.________, à [...], arrêtant à 660 fr. les frais judiciaires, compensés avec l’avance de frais de la poursuivante, les mettant à la charge du poursuivi et disant que celui-ci remboursera en conséquence à la poursuivante son avance de frais, à 111</w:t>
      </w:r>
    </w:p>
    <w:p>
      <w:r>
        <w:t>- 2 - concurrence de 660 fr., et lui versera la somme de 2'000 fr. à titre de dépens, en défraiement de son représentant professionnel, vu la lettre du poursuivi adressée au juge de paix le 8 juillet 2017, soit dans le délai de demande de motivation, priant ce magistrat « de procéder le cas au Tribunal cantonal », vu le prononcé motivé adressé aux parties le 4 septembre 2017 et notifié au poursuivi le 6 septembre 2017, vu la lettre datée du 7 et postée le 9 septembre 2017, adressée au juge de paix, dans laquelle le poursuivi qualifie la décision de ce magistrat de « jeu théorique presque abstrait » et lui reproche de n’avoir pas tenu compte de ses « remarques », fait valoir que la poursuivante aurait reçu de sa part un million quarante mille francs et fait allusion au « grand crime » d’un ergothérapeute, « à l’origine de tout le mal », qui devrait, selon lui, être puni, vu la transmission du dossier par le juge de paix à la cour de céans, autorité de recours,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également s’exercer déjà dans le délai de demande de motivation, lequel est de dix jours à compter de la communication de la décision sous forme de dispositif (art. 239 al. 1 et 2, 1re phrase, CPC), un acte de recours déposé dans ce délai étant alors considéré comme une demande de motivation,</w:t>
      </w:r>
    </w:p>
    <w:p>
      <w:r>
        <w:t>- 3 - qu’en l’espèce, la lettre adressée le 8 juillet 2017 au juge de paix, qui peut être comprise comme un acte de recours, a été déposée en temps utile, dans le délai de demande de motivation, que la lettre postée le 9 septembre 2017, s’il s’agit d’un recours, a été également déposée en temps utile, même si elle a été adressée au premier juge et non pas directement à l’instance de recours (ATF 140 III 636 consid. 3.7)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w:t>
      </w:r>
    </w:p>
    <w:p>
      <w:r>
        <w:t>- 4 - qu’en l’espèce, le poursuivi n’a soulevé aucun motif ou moyen de recours reconnaissable contre le prononcé de mainlevée d’opposition, ni dans sa première lettre au juge de paix, dans laquelle il demande en substance à ce magistrat de transmettre la cause à la cour de céans, ni dans sa deuxième lettre, qu’il ne désigne d’ailleurs pas comme un recours et qui ne contient que des allégations incompréhensibles ou sans lien avec la poursuite en cause et, au demeurant, non prouvées par les pièces au dossier, que le recours, s’il s’agit d’un recours, n’est ainsi pas conforme aux exigences posées par la loi et la jurisprudence, faute d’être motivé, et doit par conséquent être déclaré irrecevable ; attendu que même s'il était recevable, le recours devrait être considéré comme manifestement infondé et, par conséquent, être rejeté, dès lors que la poursuite est fondée sur une décision passée en force – qui constitue un titre de mainlevée définitive au sens de l'art. 80 LP –, que le poursuivi n’a apporté la preuve d’aucun moyen libératoire (art. 81 al.1 LP) et que le prononcé du premier juge est ainsi justifié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La vice-présidente : La greffière :</w:t>
      </w:r>
    </w:p>
    <w:p>
      <w:r>
        <w:t>- 6 - Du L'arrêt qui précède, dont la rédaction a été approuvée à huis clos, est notifié, par l'envoi de photocopies, à : - M. A.T.________, - Me Eric Stauffacher, avocat (pour B.T.________). La Cour des poursuites et faillites considère que la valeur litigieuse est de 280’000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