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KC17.013812 vom 21. November 2017</w:t>
      </w:r>
    </w:p>
    <w:p>
      <w:r>
        <w:t>VD Tribunal cantonal, 2017-11-21, FR</w:t>
      </w:r>
    </w:p>
    <w:p>
      <w:r>
        <w:rPr>
          <w:b/>
        </w:rPr>
        <w:t xml:space="preserve">Quelle: </w:t>
      </w:r>
      <w:r>
        <w:t>https://mcp.opencaselaw.ch/entscheid/vd_gerichte_KC17.013812</w:t>
      </w:r>
    </w:p>
    <w:p>
      <w:r>
        <w:t>FR: VD_GERICHTE KC17.013812 du 21 novembre 2017</w:t>
      </w:r>
    </w:p>
    <w:p>
      <w:r>
        <w:t>IT: VD_GERICHTE KC17.013812 del 21 novembre 2017</w:t>
      </w:r>
    </w:p>
    <w:p>
      <w:pPr>
        <w:pStyle w:val="Heading2"/>
      </w:pPr>
      <w:r>
        <w:t>Volltext</w:t>
      </w:r>
    </w:p>
    <w:p>
      <w:r>
        <w:t>TRIBUNAL CANTONAL KC17.013812-171807 281 CO UR DE S P OURSUITES ET FAILL ITES ________________________________________________ Arrêt du 21 novembre 2017 ______________________ Composition :Mme ROULEAU, présidente MM. Colombini et Maillard, juges Greffier : Mme Debétaz Ponnaz ***** Art. 321 al. 1 CPC Vu le prononcé rendu le 27 juin 2017 par le Juge de paix du district de l’Ouest lausannois, statuant à la suite de l’interpellation de la partie poursuivie, prononçant la mainlevée définitive, à concurrence de 238 fr. 10 et de 20 fr., sans intérêt, de l’opposition formée par N.________, à [...], à la poursuite ordinaire n° 8’162'081 de l’Office des poursuites du district de l’Ouest lausannois exercée contre lui à l’instance de la CAISSE B.________, à [...], arrêtant à 90 fr. les frais judiciaires, compensés avec l’avance de frais de la poursuivante, les mettant à la charge du poursuivi et disant qu’en conséquence, ce dernier remboursera à la poursuivante son avance de frais à concurrence de 90 fr., sans allocation de dépens pour le surplus, 111</w:t>
      </w:r>
    </w:p>
    <w:p>
      <w:r>
        <w:t>- 2 - vu l’envoi du dispositif aux parties le 28 juin 2017 et sa notification au poursuivi le 6 juillet 2017, vu la demande de motivation formulée par le poursuivi par lettre adressée au juge de paix le 15 juillet 2017, vu le prononcé motivé adressé aux parties le 28 septembre 2017 et notifié au poursuivi le 6 octobre 2017, vu le recours formé par N.________ par lettre du 16 octobre 2017, dans laquelle il fait valoir que « des paiements sont en cours selon des arrangements avec la caisse », constate que le tribunal est « plus prompt à rendre justice aux assureurs alors que ceux-ci ne le sont absolument pas quand il s’agit de régler des cas », fait allusion à des erreurs médicales dont ses parents auraient été victimes et à des dépenses de la caisse « en magnifique bâtiment en bordure de lac ou salaires extravagants » et conclut en dénonçant « ce foutage de gueule » et « ces impunités pour de graves dérives » qui « deviennent insupportables »,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w:t>
      </w:r>
    </w:p>
    <w:p>
      <w:r>
        <w:t>- 3 -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ne soulève aucun grief contre les considérants du premier juge selon lesquels la mainlevée définitive de l’opposition à la poursuite en cause est prononcée, en application de l’art. 81 al. 1 LP (loi fédérale sur la poursuite pour dettes et la faillite ; RS 281.1), la poursuivante étant au bénéfice de décisions administratives passées en force de chose jugée et le poursuivi ne soulevant aucun moyen pouvant faire échec à la mainlevée définitive, qu’il soutient être au bénéfice d’arrangements avec l’intimée et honorer ceux-ci par des paiements en cours, mais n’a pas apporté la</w:t>
      </w:r>
    </w:p>
    <w:p>
      <w:r>
        <w:t>- 4 - preuve de tels arrangements, ni de tels paiements, ni d’ailleurs du fait qu’ils concerneraient les montants réclamés dans la poursuite en cause, que, pour le reste, ses allégations sont sans lien avec cette poursuite, que le recours n’est ainsi pas conforme aux exigences posées par la loi et la jurisprudence, faute d’être motivé, et doit par conséquent être déclaré irrecevable ; attendu que même s'il était recevable, le recours devrait être considéré comme manifestement infondé et, par conséquent, rejeté, aux frais du recourant (art. 106 al. CPC), dès lors que la poursuite est fondée sur des décisions passées en force, qui valent titres de mainlevée définitive au sens de l'art. 80 al. 2 ch. 2 LP, et que le poursuivi n’a apporté la preuve d’aucun moyen libératoire (art. 81 al. 1 LP)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w:t>
      </w:r>
    </w:p>
    <w:p>
      <w:r>
        <w:t>- 5 - Du L'arrêt qui précède, dont la rédaction a été approuvée à huis clos, est notifié, par l'envoi de photocopies, à : - M. N.________, - Caisse B.________. La Cour des poursuites et faillites considère que la valeur litigieuse est de 258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