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KC17.008522 vom 4. September 2017</w:t>
      </w:r>
    </w:p>
    <w:p>
      <w:r>
        <w:t>VD Tribunal cantonal, 2017-09-04, FR</w:t>
      </w:r>
    </w:p>
    <w:p>
      <w:r>
        <w:rPr>
          <w:b/>
        </w:rPr>
        <w:t xml:space="preserve">Quelle: </w:t>
      </w:r>
      <w:r>
        <w:t>https://mcp.opencaselaw.ch/entscheid/vd_gerichte_KC17.008522</w:t>
      </w:r>
    </w:p>
    <w:p>
      <w:r>
        <w:t>FR: VD_GERICHTE KC17.008522 du 4 septembre 2017</w:t>
      </w:r>
    </w:p>
    <w:p>
      <w:r>
        <w:t>IT: VD_GERICHTE KC17.008522 del 4 settembre 2017</w:t>
      </w:r>
    </w:p>
    <w:p>
      <w:pPr>
        <w:pStyle w:val="Heading2"/>
      </w:pPr>
      <w:r>
        <w:t>Volltext</w:t>
      </w:r>
    </w:p>
    <w:p>
      <w:r>
        <w:t>TRIBUNAL CANTONAL KC17.008522-171246 217 CO UR DE S P OURSUITES ET FAILL ITES ________________________________________________ Arrêt du 4 septembre 2017 _____________________ Composition :Mme BYRDE, vice-présidente MM. Hack et Maillard, juges Greffier : M. Elsig ***** Art. 321 al. 1 CPC Vu le prononcé non motivé rendu le 24 avril 2017, à la suite de l’interpellation du poursuivi, par le Juge de paix du district de Nyon, notifié au poursuivi le 26 avril 2017, prononçant la mainlevée définitive de l’opposition formée par Q.________, à [...], à la poursuite n° 8'155'399 de l’Office des poursuites du district de Nyon exercée par ETAT DE VAUD, représenté par le Service juridique et législatif, Secteur recouvrement – NFP, à Lausanne, fixant les frais judiciaires à 150 fr., les mettant à la charge du poursuivi et disant qu’en conséquence celui-ci rembourserait au poursuivant son avance de frais, par 150 fr., sans allocation de dépens pour le surplus, 111</w:t>
      </w:r>
    </w:p>
    <w:p>
      <w:r>
        <w:t>- 2 - vu l’opposition formée à ce prononcé le 4 mai 2017 par le poursuivi, vu les motifs du prononcé adressés aux parties le 27 juin 2017 et notifiés au poursuivi le 3 juillet 2017,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JdT 2010 III 115, spéc. p. 131), qu’en l’espèce, le dispositif du prononcé a été notifié au recourant le 26 avril 2017, que le recours, déposé le 4 mai 2017, l’a été en temps utile ; attendu que la partie qui entend user d'une voie de droit a la charge de se conformer à certaines règles de forme, à défaut de quoi sa</w:t>
      </w:r>
    </w:p>
    <w:p>
      <w:r>
        <w:t>- 3 -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recourant ne développe aucune argumentation à l’encontre de la motivation du prononcé attaqué, se contentant de déclarer que le rejet, par le Tribunal fédéral, de son recours et de sa demande d’assistance judiciaire était ʺridiculeʺ, qu’il n’a déposé aucune écriture à la suite de la notification des motifs de celui-ci,</w:t>
      </w:r>
    </w:p>
    <w:p>
      <w:r>
        <w:t>- 4 - que le recours doit en conséquence être déclaré irrecevable, faute de motivation conforme à l’art. 321 al. 1 CPC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vice-présidente : Le greffier : Du L'arrêt qui précède, dont la rédaction a été approuvée à huis clos, est notifié, par l'envoi de photocopies, à : - M. Q.________, - Service juridique et législatif, Secteur recouvrement – NFP (pour Etat de Vaud). La Cour des poursuites et faillites considère que la valeur litigieuse est de 2’676 francs.</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