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KC17.008455 vom 31. Juli 2017</w:t>
      </w:r>
    </w:p>
    <w:p>
      <w:r>
        <w:t>VD Tribunal cantonal, 2017-07-31, FR</w:t>
      </w:r>
    </w:p>
    <w:p>
      <w:r>
        <w:rPr>
          <w:b/>
        </w:rPr>
        <w:t xml:space="preserve">Quelle: </w:t>
      </w:r>
      <w:r>
        <w:t>https://mcp.opencaselaw.ch/entscheid/vd_gerichte_KC17.008455</w:t>
      </w:r>
    </w:p>
    <w:p>
      <w:r>
        <w:t>FR: VD_GERICHTE KC17.008455 du 31 juillet 2017</w:t>
      </w:r>
    </w:p>
    <w:p>
      <w:r>
        <w:t>IT: VD_GERICHTE KC17.008455 del 31 luglio 2017</w:t>
      </w:r>
    </w:p>
    <w:p>
      <w:pPr>
        <w:pStyle w:val="Heading2"/>
      </w:pPr>
      <w:r>
        <w:t>Volltext</w:t>
      </w:r>
    </w:p>
    <w:p>
      <w:r>
        <w:t>TRIBUNAL CANTONAL KC17.008455-171035 178 CO UR DE S P OURSUITES ET FAILL ITES ________________________________________________ Arrêt du 31 juillet 2017 __________________ Composition :Mme ROULEAU, présidente M. Hack et Mme Byrde, juges Greffier : Mme Debétaz Ponnaz ***** Art. 321 al. 1 CPC Vu le prononcé rendu le 11 avril 2017 par le Juge de paix du district de Lausanne, statuant à la suite de l’interpellation de la partie poursuivie et prononçant la mainlevée définitive, à concurrence de 905 fr. 85 sans intérêt, de l’opposition formée par O.________, actuellement détenu à [...], à [...], à la poursuite n° 8’137’045 de l’Office des poursuites du district de Lausanne exercée contre lui à l’instance de l’ETAT DE VAUD, représenté par le Service juridique et législatif, Secteur recouvrement, Notes de frais pénaux, à Lausanne, arrêtant à 120 fr. les frais judiciaires, compensés avec l’avance de frais du poursuivant, les mettant à la charge du poursuivi et disant que ce dernier doit en 111</w:t>
      </w:r>
    </w:p>
    <w:p>
      <w:r>
        <w:t>- 2 - conséquence rembourser au poursuivant son avance de frais à concurrence de 120 francs, sans allocation de dépens pour le surplus, vu l’envoi pour notification aux parties de ce dispositif le 2 mai 2017, vu la lettre datée du 4 et postée le 5 mai 2017, adressée au juge de paix par le poursuivi, requérant la motivation du prononcé, exprimant son intention de recourir et déclarant être d’accord de payer deux des notes de frais pénaux réclamées en poursuites, mais pas la troisième, pour le motif qu’il serait « innocent dans cette enquête », vu les motifs du prononcé adressés aux parties le 22 mai 2017 et notifiés au poursuivi le lendemain, vu la transmission du dossier par le juge de paix à la cour de céans, autorité de recours, le 30 mai 2017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qu’en l’espèce, le recours a été déposé dans le délai de demande de motivation, soit en temps utile ;</w:t>
      </w:r>
    </w:p>
    <w:p>
      <w:r>
        <w:t>- 3 -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ne soulève aucun moyen de recours contre les considérants du premier juge selon lesquels la mainlevée définitive de l’opposition à la poursuite en cause est prononcée, en application de l’art. 80 al. 1 LP (loi fédérale sur la poursuite pour dettes et la faillite ; RS 281.1), le poursuivant étant au bénéfice de trois décisions attestées définitives et exécutoires, soit deux ordonnances pénales et un arrêt de la Chambre des recours pénale du Tribunal cantonal,</w:t>
      </w:r>
    </w:p>
    <w:p>
      <w:r>
        <w:t>- 4 - qu’en contestant les frais mis à sa charge par l’arrêt précité pour le motif qu’il serait « innocent dans cette enquête », il remet en cause cette décision au fond, qu’il n’appartient pas au juge de la mainlevée de réexaminer le bien-fondé du jugement qui lui est présenté comme titre de mainlevée d’opposition (ATF 138 III 583 consid. 6.1), que le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w:t>
      </w:r>
    </w:p>
    <w:p>
      <w:r>
        <w:t>- 5 - - M. O.________, - Etat de Vaud, Service juridique et législatif, Secteur recouvrement, Notes de frais pénaux. La Cour des poursuites et faillites considère que la valeur litigieuse est de 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