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KC17.001589 vom 29. November 2017</w:t>
      </w:r>
    </w:p>
    <w:p>
      <w:r>
        <w:t>VD Tribunal cantonal, 2017-11-29, FR</w:t>
      </w:r>
    </w:p>
    <w:p>
      <w:r>
        <w:rPr>
          <w:b/>
        </w:rPr>
        <w:t xml:space="preserve">Quelle: </w:t>
      </w:r>
      <w:r>
        <w:t>https://mcp.opencaselaw.ch/entscheid/vd_gerichte_KC17.001589</w:t>
      </w:r>
    </w:p>
    <w:p>
      <w:r>
        <w:t>FR: VD_GERICHTE KC17.001589 du 29 novembre 2017</w:t>
      </w:r>
    </w:p>
    <w:p>
      <w:r>
        <w:t>IT: VD_GERICHTE KC17.001589 del 29 novembre 2017</w:t>
      </w:r>
    </w:p>
    <w:p>
      <w:pPr>
        <w:pStyle w:val="Heading2"/>
      </w:pPr>
      <w:r>
        <w:t>Erwägungen</w:t>
      </w:r>
    </w:p>
    <w:p>
      <w:r>
        <w:rPr>
          <w:b/>
        </w:rPr>
        <w:t>E. 1</w:t>
      </w:r>
    </w:p>
    <w:p>
      <w:r>
        <w:t>Le 30 juin 2016, l'Office des poursuites du district de Lavaux- Oron a notifié à A.Q.________, à la réquisition de B.Q.________, un commandement de payer n° 7'908'281, portant sur les montants de 19'850 fr. plus intérêt à 5 % dès le 1er juillet 2013 (1) et de 145'000 fr. plus intérêt à</w:t>
      </w:r>
    </w:p>
    <w:p>
      <w:r>
        <w:rPr>
          <w:b/>
        </w:rPr>
        <w:t>E. 5</w:t>
      </w:r>
    </w:p>
    <w:p>
      <w:r>
        <w:t>% dès le 1er mars 2015 (2), indiquant comme cause de l'obligation : " 1) Impayé de pension alimentaire due à teneur de l'Ordonnance de mesures protectrices de l'union conjugale rendue par le Président du Tribunal civil de l'arrondissement de la Broye et du Nord vaudois le 13.11.2009 selon décompte suivant : Montant dû pour les mois de janvier 2013 à janvier 2014, CHF 80'600.00 (13 mois à CHF 6200.00) ./. montants versés par A.Q.________, CHF 60'750.00 2) PA s/ jugement de divorce 17.12.13:02.14 à 06.16, 29xCHF 4000 PA+CHF1000 rattrap. ar." Le poursuivi a formé opposition totale. Le 11 janvier 2017, la poursuivante a déposé une requête tendant à la mainlevée définitive de l'opposition à concurrence de 19'850 fr. plus intérêt à 5 % l’an dès le 1er juillet 2013 et de 112'000 fr. avec intérêt à 5 % dès le 1er mars 2015. La requête est constituée d'une écriture de neuf pages, accompagnée d’un bordereau de huit pièces, dont une ordonnance de mesures protectrices de l'union conjugale concernant les parties rendue le 13 novembre 2009, un arrêt sur appel du 2 novembre 2010, un avis aux débiteurs du 5 septembre 2011 et un jugement prononçant le divorce des époux [...] rendu le 17 décembre 2013, attesté définitif et exécutoire. 2. Par prononcé rendu le 13 avril 2017, la Juge de paix du district de Lavaux-Oron a prononcé la mainlevée définitive de l’opposition à concurrence de 19'850 fr. plus intérêt à 5 % l’an dès le 1er juillet 2013 et de 112'000 fr. avec intérêt à 5 % dès le 1er mars 2015 (I), arrêté les frais à</w:t>
      </w:r>
    </w:p>
    <w:p>
      <w:r>
        <w:t>- 3 - 660 fr. et mis ceux-ci à la charge du poursuivi (II et III) et dit que celui-ci verserait à la poursuivante les sommes de 660 fr. à titre de remboursement de son avance de frais et de 3'000 fr. à titre de dépens (IV). Le prononcé motivé a été adressé aux parties le 15 juin 2017 et notifié au poursuivi le lendemain. Par acte du 26 juin 2017, A.Q.________ a recouru contre ce prononcé, en concluant avec suite de frais et dépens à sa réforme en ce sens que le montant des dépens est fixé à 1'000 francs. Dans ses déterminations du 17 août 2017, l’intimée s’en est remise à justice. Le 28 août 2017, dans le délai prolongé à cet effet, le conseil du recourant a produit une procuration. En d roit : I. Le recours, déposé en temps utile et dans les formes requises (art. 321 al. 1 et 2 CPC [Code de procédure civil; RS 272]), est recevable. Il en va de même de la réponse de l'intimé (art. 322 CPC). II. a) Le recours porte exclusivement sur la question des dépens. Le recourant soutient que, s’il se tient dans la fourchette prévue par le tarif des dépens, le montant de 3'000 fr. alloué à ce titre à l'intimée en première instance est manifestement disproportionné au regard des critères prévus par l’art. 3 TDC (tarif du 23 novembre 2010 des dépens en matière civile ; RSV 270.11.6), et qu’il convient, en application de l’art. 20 al. 2 TDC, de ramener ce montant à 1’000 francs. Il fait valoir</w:t>
      </w:r>
    </w:p>
    <w:p>
      <w:r>
        <w:t>- 4 - qu’il s’agit d’une procédure de mainlevée définitive fondée sur un jugement définitif et exécutoire et se prévaut du caractère « relativement simple de cette affaire » ; selon lui, le temps consacré par le conseil de l'intimée à cette procédure ne saurait être estimé à plus de trois heures, si bien qu’à un tarif horaire de 300 fr., c’est un montant de 1'000 fr., débours et TVA compris, qui aurait dû être alloué. L’intimée, si elle s’en est remise à justice, a quant à elle souligné qu'un « temps important a […] été nécessaire pour rédiger la requête » en raison du fait que les arriérés de pensions s’étendaient sur une longue période et qu’ils concer-naient deux procédures distinctes (mesures protectrices de l'union conjugale et divorce) ; elle a ajouté qu'il a fallu vérifier les paiements très partiels effectués par le recourant et qu'au vu de la jurisprudence du Tribunal fédéral et la Cour de céans et de la CPF en la matière, elle a dû détailler très précisément les périodes pour lesquelles la mainlevée avait été requise.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 RSV 211.02), le Tribunal cantonal a arrêté le tarif des dépens en matière civile (TDC ; RSV 270.11.6), qui est entré en vigueur le 1er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1e phrase TDC). L’art. 6 TDC, qui fixe le tarif en procédure sommaire (applicable en matière de mainlevée</w:t>
      </w:r>
    </w:p>
    <w:p>
      <w:r>
        <w:t>- 5 - d'opposition selon l’art. 251 let. a CPC),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w:t>
      </w:r>
    </w:p>
    <w:p>
      <w:r>
        <w:rPr>
          <w:b/>
        </w:rPr>
        <w:t>E. 6</w:t>
      </w:r>
    </w:p>
    <w:p>
      <w:r>
        <w:t>février 2014/49 ; CPF, 10 septembre 2013/350). En particulier concernant de petits montants, les dépens ne seront pas fixés en dessous du minimum déterminé par le tarif pour le seul motif qu'ils semblent quelque peu surévalués au regard du travail fourni par le mandataire (CPF,</w:t>
      </w:r>
    </w:p>
    <w:p>
      <w:r>
        <w:t>- 6 -</w:t>
      </w:r>
    </w:p>
    <w:p>
      <w:r>
        <w:rPr>
          <w:b/>
        </w:rPr>
        <w:t>E. 9</w:t>
      </w:r>
    </w:p>
    <w:p>
      <w:r>
        <w:t>mai 2012/156). Une différence d’un tiers par rapport au temps consacré n’a pas été jugée manifestement disproportionnée (CPF, 28 février 2012/143 ; CPF, 1er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 TF 4A_349/2011 du 5 octobre 2011 ;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consid. 4 ; TF 4D_57 à 67/2009 du</w:t>
      </w:r>
    </w:p>
    <w:p>
      <w:r>
        <w:rPr>
          <w:b/>
        </w:rPr>
        <w:t>E. 13</w:t>
      </w:r>
    </w:p>
    <w:p>
      <w:r>
        <w:t>juillet 2009, consid. 2). c) En l'espèce, l’intimée a obtenu entièrement gain de cause en première instance. Assistée d’un avocat, elle pouvait en principe prétendre, au vu la valeur litigieuse de 131'850 fr., à un défraiement compris entre 3'000 et 8'000 fr. (art. 6 TDC). La juge de paix a fixé les dépens à 3'000 fr., soit au minimum de la fourchette. Ce montant correspond à environ 8 heures de travail, si l'on tient compte d’un tarif horaire admissible de 350 fr. pour une valeur litigieuse supérieure à 30'000 francs mais inférieure à 300'000 fr., augmenté de débours arrêtés à 5 % du défraie-ment. Il convient d'examiner s'il y a une "disproportion manifeste" entre le montant de 3'000 fr. alloué et le travail effectif de l'avocat, condition à laquelle des dépens inférieurs au taux minimum pourraient être fixés (art. 20 al. 2 TDC). S'il est vrai que la cause ne présente pas de complexité particulière, force est de constater qu'elle a nécessité un travail d'une certaine importance pour déterminer le montant de la créance. Pour ce faire, l'intimée a en effet dû établir en détail les périodes durant lesquelles la pension – dont le montant a varié – a été acquitté ou non ou ne l'a été que partiellement, et procéder à la vérification des paiements, épars et non constants, opérés par le recourant, et cela sur une période de</w:t>
      </w:r>
    </w:p>
    <w:p>
      <w:r>
        <w:t>- 7 - plusieurs années. Ainsi, le temps consacré à la prise de connaissance et au tri des documents remis par la poursuivante, à la préparation de la requête, qui comporte neuf pages, à l'établissement d'un bordereau de huit pièces et d'une lettre d'accompagnement, peut être estimé à environ cinq heures. Compte tenu des autres opérations nécessitées par la cause (rendez-vous avec la cliente, vérification du caractère exécutoire des trois décisions invoquées comme titres à la mainlevée, lettres au juge et à la cliente etc.), un travail de l'ordre de huit heures n'apparaît pas excessif. En tous les cas, on n'est pas en présence d'une disproportion manifeste entre le taux applicable selon le tarif et le travail effectif de l'avocat. Il n'y a dès lors pas lieu d'appliquer l'art. 20 al. 2 TDC. III. Le recours doit par conséquent être rejeté et le prononcé confirmé en son chiffre IV, seul touché par le recours. Vu le rejet du recours, les frais judiciaires de deuxième instance, arrêtés à 270 fr., doivent être mis à la charge du recourant, qui succombe (art. 106 al. 1 CPC). Celui-ci doit en outre verser à l'intimée la somme de 200 fr. à titre de dépens de deuxième instance ; celle-ci, en s’en remettant à justice, a en effet conclu de fait au rejet du recours, et a ainsi droit à des dépens de deuxième instance (art. 106 al. 1 CPC ; Tappy, in Bohnet et alii, Code de procédure civile commenté, n. 22 ad art. 106 CPC ; art. 8 premier tiret TDC; TF 5A_932/2016 du 24 juillet 2017 consid.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