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KC16.048010 vom 4. Juli 2017</w:t>
      </w:r>
    </w:p>
    <w:p>
      <w:r>
        <w:t>VD Tribunal cantonal, 2017-07-04, FR</w:t>
      </w:r>
    </w:p>
    <w:p>
      <w:r>
        <w:rPr>
          <w:b/>
        </w:rPr>
        <w:t xml:space="preserve">Quelle: </w:t>
      </w:r>
      <w:r>
        <w:t>https://mcp.opencaselaw.ch/entscheid/vd_gerichte_KC16.048010</w:t>
      </w:r>
    </w:p>
    <w:p>
      <w:r>
        <w:t>FR: VD_GERICHTE KC16.048010 du 4 juillet 2017</w:t>
      </w:r>
    </w:p>
    <w:p>
      <w:r>
        <w:t>IT: VD_GERICHTE KC16.048010 del 4 luglio 2017</w:t>
      </w:r>
    </w:p>
    <w:p>
      <w:pPr>
        <w:pStyle w:val="Heading2"/>
      </w:pPr>
      <w:r>
        <w:t>Erwägungen</w:t>
      </w:r>
    </w:p>
    <w:p>
      <w:r>
        <w:rPr>
          <w:b/>
        </w:rPr>
        <w:t>E. 1</w:t>
      </w:r>
    </w:p>
    <w:p>
      <w:r>
        <w:t>Le 4 février 2016, à la réquisition de Banque H.________, l’Office des poursuites du district de la Broye-Vully a notifié à A.S.________, dans la poursuite n° 7'756'540, un commandement de payer les sommes de 212'177 fr. 50 avec intérêt à 4,72 % l’an dès le 25 novembre 2016 et de 1'123 fr. 80 sans intérêt, indiquant comme titre de la créance ou cause de l’obligation : « Décompte de la Banque H.________ sur le prêt [...] renuméroté [...] du 12.11.2015, relevé de l’huissier de justice [...] du 16.11.2015 et mise en demeure du 24.11.2015. EUR 188'803.62. Cours de l’euro le 28.01.2016 : 1 EUR = CHF 1.1238. Frais de recouvrement (art. 106 CO). EUR 1'000.00. » La poursuivie a formé opposition totale.</w:t>
      </w:r>
    </w:p>
    <w:p>
      <w:r>
        <w:rPr>
          <w:b/>
        </w:rPr>
        <w:t>E. 2</w:t>
      </w:r>
    </w:p>
    <w:p>
      <w:r>
        <w:t>a) Par acte du 24 octobre 2016, la poursuivante a requis du Juge de paix du district de la Broye-Vully, avec suite de frais et dépens, qu’il prononce la mainlevée provisoire de l’opposition à concurrence de 212'177 fr. 50 avec intérêt à 4,71 % dès le 25 novembre 2015. A l’appui de sa requête, elle a produit, outre le commandement de payer susmentionné, les pièces suivantes : - une copie d’une offre de prêt immobilier de la poursuivante du 2 novembre 2006 signée par la poursuivie et son époux le 14 novembre 2006 portant sur un prêt de 229'700 €, remboursable en deux cent quarante mois, destiné à l’acquisition d’un logement sis à [...] (France), au taux effectif global de 4,72 %. A ce document étaient joints les formulaires suivants, paraphés par la poursuivie et son époux : situation hypothécaire, annexe prêt à taux révisable et durée ajustable, annexe au cahier des charges et conditions générales des prêts immobiliers, tableau d’amortissement prévisionnel et cahier des charges et conditions générales des prêts immobiliers prévoyant notamment à leur article 14 ch.</w:t>
      </w:r>
    </w:p>
    <w:p>
      <w:r>
        <w:t>- 3 -</w:t>
      </w:r>
    </w:p>
    <w:p>
      <w:r>
        <w:rPr>
          <w:b/>
        </w:rPr>
        <w:t>E. 2.2</w:t>
      </w:r>
    </w:p>
    <w:p>
      <w:r>
        <w:t>;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consid. 4.1.2 ; TF 5A_884/2014 précité). c)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Basler Juristische Mitteilungen [BJM] 1989, pp. 258 ss ; CPF, 15 juillet 2013/297 ; CPF, 6 février 2015/27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w:t>
      </w:r>
    </w:p>
    <w:p>
      <w:r>
        <w:t>- 11 - régies par le droit désigné par le droit international privé suisse (Vock, SchKG, Kurzkommentar, n. 42 ad art. 82 LP et référence ; CPF, 6 février 2015/27 ; CPF, 13 janvier 2016/21). d)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récent,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(ATF 140 III 456 consid.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w:t>
      </w:r>
    </w:p>
    <w:p>
      <w:r>
        <w:t>- 12 - III. La recourante soutient que la créance n’est pas déterminable, car elle n’a pas été informée de la procédure ayant abouti au jugement d’adjudication du 12 septembre 2013, ni n’a reçu ce jugement, en violation des règles procédurales françaises. Ces moyens sont sans pertinence. La mainlevée requise et accordée par le premier juge est provisoire : elle n’est pas fondée sur le jugement rendu le 12 septembre 2013 par le Tribunal de Grande Instance de [...], mais uniquement sur le contrat de prêt conclu par les parties le 14 novembre 2006. Si l’on devait faire abstraction du jugement précité, le montant de la créance n’en serait que plus élevé. L’intimée n’a pas produit d’attestation bancaire de virement ou un autre document attestant qu’elle avait fourni sa prestation. Ce fait ressort toutefois implicitement du courrier du conseil de la poursuivie du 7 janvier 2016, qui expose que celle-ci pensait que la banque s’était remboursée en vendant l’immeuble en cause, et directement du contrat d’acquisition de cet immeuble du 23 décembre 2006 qui indique que cette acquisition a été financée par un prêt de 229'700 € contracté auprès de l’intimée. On peut sur cette base retenir que les fonds objets du prêt ont bien été versés. Il y a lieu d’admettre avec le premier juge que le contrat de prêt en cause ne portait pas sur une prestation courante et qu’il était donc régi par le droit français, la succursale ayant consenti le prêt étant en France, cet élément étant déterminant pour les contrat de prêt bancaire, lorsqu’il n’y a pas d’élection de droit (art. 117 al. 1 et 2 LDIP ; Bonomi, Commentaire romand, Loi sur le droit international privé – Convention de Lugano). L’exigence de forme écrite de l’intérêt conventionnel posée par l’art. 1900 du Code civil français, que l’intimée avait établi, était respectée. Quant à l’exigibilité de la créance, elle était démontrée par les art. 14 ch. 4 et 17 des conditions générales du prêt et par la lettre de dénonciation de celui-ci du 31 mars 2010, le solde à rembourser, en l’absence de pièces produites par la recourante, qui établiraient un</w:t>
      </w:r>
    </w:p>
    <w:p>
      <w:r>
        <w:t>- 13 - remboursement partiel, résultant du décompte des sommes dues produit par l’intimée. L’intimée était en conséquence au bénéfice d’un titre à la mainlevée provisoire à concurrence du montant réclamé et le recours doit ainsi être rejeté. IV. La recourante a demandé le bénéfice de l’assistance judiciaire. a) Selon l’art. 117 CPC, une personne a droit à l’assistance judiciaire si elle ne dispose pas de ressources suffisantes (let. a) et si sa cause ne paraît pas dépourvue de toutes chance de succès (let. b). En l’espèce la recourante et son époux bénéficient d’un revenu de 6'100 fr. environ, supportent une charge de loyer de 1'450 fr. et de primes d’assurance maladie de 850 fr. 90, ce qui leur laisse 3'808 fr. 10 par mois pour deux personnes. Il y a lieu d’admettre que la première condition à l’octroi de l’assistance judiciaire est réalisée, mais que ce disponible permet d’astreindre la recourante à une franchise de 50 fr. par mois. Il y a également lieu de considérer que le recours n’était pas dénué de chances de succès, de sorte que la recourante a droit à l’assistance judiciaire pour la procédure de recours. b) Selon l’art. 118 al. 1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(let. c). aux termes de l’art. 123 al. 1 CPC, une partie est tenue de rembourser l’assistance judiciaire dès qu’elle est en mesure de le faire.</w:t>
      </w:r>
    </w:p>
    <w:p>
      <w:r>
        <w:t>- 14 - En l’espèce, il y a lieu de dispenser la recourante des frais judiciaires et de désigner Me Olga Collados Andrade conseil d’office. Le conseil d’office de la recourante a déposé une liste de ses opérations dont il ressort qu’il a consacré 6 h 35 au mandat et supporté 36 fr. 85 de débours. Cette durée et ce montant apparaissent adéquats. Au tarif horaire de 180 fr. (art. 2 al. 1 let. a RAJ [règlement du 7 décembre 2010 sur l’assistance judiciaire en matière civile ; RSV 211.02.3}), l’indemnité d’honoraires atteint 1'185 francs, montant auquel il convient d’ajouter les débours, par 36 fr. 85. et la TVA à 8 % sur le tout, soit une indemnité globale de 1'319 fr. 60. La recourante est tenue, dans la mesure de l’art. 123 CPC, au remboursement des frais judiciaires et de l’indemnité de conseil d’office mis à la charge de l’Etat. IV. En conclusion, le recours doit être rejeté et le prononcé confirmé, l’assistance judiciaire étant accordée à la recourante pour la procédure de recours et Me Olga Collados Andrade étant désignée comme conseil d’office, l’indemnité de cette dernière étant fixée à 1'319 fr. 60 TVA et débours compris. Vu le rejet du recours et l’assistance octroyée, les frais judiciaires de deuxième instance, arrêtés à 1'050 fr. sont laissés à la charge de l’Etat. Obtenant gain de cause, l’intimée a droit à des dépens de deuxième instance, fixés à 1'200 fr. (art. 106 al. 1 , 118 al. 3 CPC ; 3 et 8 TDC [tarif du 23 novembre 2010 des dépens en matière civile ; RSV 270.11.6])</w:t>
      </w:r>
    </w:p>
    <w:p>
      <w:r>
        <w:t>- 15 -</w:t>
      </w:r>
    </w:p>
    <w:p>
      <w:r>
        <w:rPr>
          <w:b/>
        </w:rPr>
        <w:t>E. 4</w:t>
      </w:r>
    </w:p>
    <w:p>
      <w:r>
        <w:t>Par acte du 17 mars 2017, la poursuivie a recouru contre ce prononcé en concluant, avec suite de frais et dépens, principalement à son annulation, la requête de mainlevée étant rejetée et la poursuite n° 7'756'540 étant radiée, et, subsidiairement au renvoi de la cause au premier juge pour décision dans le sens des considérants. Elle a requis l’octroi de l’effet suspensif au recours et le bénéfice de l’assistance judiciaire. Par décision du 21 mars 2017, la présidente de la cour de céans a admis la requête d’effet suspensif. Par décision du 29 mars 2017, la présidente de la cour de céans a dispensé la recourante de l’avance des frais de recours et l’a informé que la décision sur l’octroi de l’assistance judiciaire serait prise dans l’arrêt à intervenir.</w:t>
      </w:r>
    </w:p>
    <w:p>
      <w:r>
        <w:t>- 8 - Le 13 avril 2017, l’intimée Banque H.________ a déposé une réponse spontanée concluant, avec suite de frais et dépens, au rejet du recours. A l’invitation de la cour de céans, le conseil de la recourante a produit le 19 juin 2017 une liste de ses opérations et des explications complémentaires le 29 juin 2017. En d roit : I. La demande de motivation et le recours ont été déposés dans les délais de dix jours des art. 239 al. 2 et 321 al. 2 CPC (Code de procédure civile du 19 décembre 2008 ; RS 272). Motivé conformément à l’art. 321 al. 1 CPC, le recours est recevable. La réponse spontanée de l’intimée du 13 avril 2017 l’est également.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w:t>
      </w:r>
    </w:p>
    <w:p>
      <w:r>
        <w:t>- 9 -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 Staehelin, Basler Kommentar, n. 120 ad art. 82 LP).</w:t>
      </w:r>
    </w:p>
    <w:p>
      <w:r>
        <w:t>- 10 - b)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