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KC16.044023 vom 15. Juni 2017</w:t>
      </w:r>
    </w:p>
    <w:p>
      <w:r>
        <w:t>VD Tribunal cantonal, 2017-06-15, FR</w:t>
      </w:r>
    </w:p>
    <w:p>
      <w:r>
        <w:rPr>
          <w:b/>
        </w:rPr>
        <w:t xml:space="preserve">Quelle: </w:t>
      </w:r>
      <w:r>
        <w:t>https://mcp.opencaselaw.ch/entscheid/vd_gerichte_KC16.044023</w:t>
      </w:r>
    </w:p>
    <w:p>
      <w:r>
        <w:t>FR: VD_GERICHTE KC16.044023 du 15 juin 2017</w:t>
      </w:r>
    </w:p>
    <w:p>
      <w:r>
        <w:t>IT: VD_GERICHTE KC16.044023 del 15 giugno 2017</w:t>
      </w:r>
    </w:p>
    <w:p>
      <w:pPr>
        <w:pStyle w:val="Heading2"/>
      </w:pPr>
      <w:r>
        <w:t>Erwägungen</w:t>
      </w:r>
    </w:p>
    <w:p>
      <w:r>
        <w:rPr>
          <w:b/>
        </w:rPr>
        <w:t>E. 1</w:t>
      </w:r>
    </w:p>
    <w:p>
      <w:r>
        <w:t>a) Le 30 septembre 2016, l'Office des poursuites du district de Morges a notifié à F.________ un commandement de payer les sommes de 6'591 fr. plus intérêt à 3 % l'an dès le 28 juin 2015 et de 117 fr. 05 sans intérêt, dans la poursuite n° 8'022'996 exercée à la réquisition de la Confédération suisse, représentée par l'Office d'impôt du district de Morges, invoquant comme titre de la créance ou cause de l'obligation : « Impôt fédéral direct 2013 (Confédération Suisse) selon décision de taxation du 22.5.2015 et du décompte final du 22.5.2015; sommation adressée le 21.07.2015. Conjointement et solidairement responsable avec [...], [...]. Intérêts moratoires sur acomptes». La poursuivie a formé opposition totale. b) Le 5 octobre 2016, la poursuivante a requis du Juge de paix du district de Morges la mainlevée définitive de l'opposition. A l'appui de sa requête, elle a produit, outre l'original du commandement de payer, les pièces suivantes : - une copie certifiée conforme d'une décision de taxation et calcul de l’impôt pour l’année 2013, datée du 22 mai 2015, adressée à [...] et F.________, fixant à 24'941 fr. 10 l’impôt cantonal et communal, à 6'591 fr. l’impôt fédéral direct et à 5 fr. 85 l’impôt anticipé ; la décision mentionne les voies de droit à la disposition des prénommés et comporte un timbre humide selon lequel « Aucune réclamation n’a été déposée, cette décision est donc passée en force »; - une copie certifiée conforme d’un décompte final du 22 mai 2015, mentionnant les voies de droit et comportant un timbre humide selon lequel « Aucune réclamation n’a été déposée, cette décision est donc passée en force », adressé à [...] et F.________, d’un montant total de 32'657 fr. 55, détaillé comme suit : - impôt sur le revenu et la fortune (ICC) 24'949 fr. 50</w:t>
      </w:r>
    </w:p>
    <w:p>
      <w:r>
        <w:t>- 3 - - intérêts moratoires sur acompte ICC 983 fr. 90 - intérêts compensatoires ICC 30 fr. 35 - impôt fédéral direct (IFD) 6'591 fr. 00 - intérêts moratoires sur acompte IFD 117 fr. 05 ; - une copie d’une sommation du 21 juillet 2015 impartissant à [...] et F.________ un délai de dix jours pour s’acquitter du montant de 6'708 fr. 05 selon décompte du 22 mai 2015; ce courrier comporte également le timbre humide selon lequel « Aucune réclamation n’a été déposée, cette décision est donc passée en force »; - une copie d'un relevé de compte de l'impôt fédéral direct 2013 au 4 octobre 2016, adressé à F.________, faisant état d’un solde de 7'287 fr. 95 ; - une copie des déterminations que F.________ avait adressées, par son conseil, le 16 octobre 2015, au Juge de paix du district de Morges – dans le cadre d’une précédente procédure de mainlevée (référencée KC15.038684) relative à la même créance que celle faisant l’objet de la présente procédure – dans lesquelles elle avait fait valoir que la décision de taxation du 22 mai 2015 invoquée par la poursuivante ne lui avait pas été valablement notifiée. Dans sa requête de mainlevée, la poursuivante a précisé que « la notification des éléments imposables et du calcul de l’impôt a été adressée au contribuable le 22.05.2015 » et que celui-ci n’ayant contesté ni la décision de taxation du 22 mai 2015 ni le décompte final du même jour, ces deux décisions étaient entrées en force et exécutoires.</w:t>
      </w:r>
    </w:p>
    <w:p>
      <w:r>
        <w:rPr>
          <w:b/>
        </w:rPr>
        <w:t>E. 2</w:t>
      </w:r>
    </w:p>
    <w:p>
      <w:r>
        <w:t>Par prononcé du 24 novembre 2016, la Juge de paix du district de Morges a rejeté la requête de mainlevée (I), arrêté à 180 fr. les frais judiciaires, compensés avec l'avance de frais de la poursuivante (II), les a mis à la charge de celle-ci (III) et dit qu’il n’était pas alloué de dépens</w:t>
      </w:r>
    </w:p>
    <w:p>
      <w:r>
        <w:t>- 4 - (IV). Ce dispositif a été notifié à la poursuivante le 25 novembre 2016, qui en a requis la motivation par lettre du même jour. Les motifs du prononcé ont été adressés aux parties le 27 février 2017 et notifiés à la poursuivante le lendemain. Le premier juge a considéré que si la poursuivante était bien au bénéfice d’une décision de taxation attestée définitive et exécutoire susceptible de constituer un titre de mainlevée définitive, elle n’établissait pas que la décision dont elle se prévalait avait été valablement notifiée à la poursuivie.</w:t>
      </w:r>
    </w:p>
    <w:p>
      <w:r>
        <w:rPr>
          <w:b/>
        </w:rPr>
        <w:t>E. 2.2</w:t>
      </w:r>
    </w:p>
    <w:p>
      <w:r>
        <w:t>in fine ; TF 5A_959/2016 du 7 février 2017 consid. 3.1). Il a été jugé qu’un recours déposé plus de six mois après la connaissance de la décision querellée était tardif (TF 8C_130/2014 du 22 janvier 2015 consid. 2.3.3 publié in SJ 2015 I 293). En l’espèce, on doit admettre que l’intimée a eu connaissance au plus tard le 16 octobre 2015 de la décision de taxation litigieuse ; en effet, les détermina-tions qu’elle a adressées ledit jour, par son conseil, au juge de paix – dans le cadre de la procédure de mainlevée référencée KC15.038684 fondée sur ladite décision – vaut aveu sur ce point. Cela étant, l’intimée ne pouvait rester inactive et se devait d’agir rapidement si elle entendait contester la taxation, et ce d’autant qu’elle était assistée d’un mandataire professionnel. Elle n’a pas agi dans les trente jours dès la connaissance de la décision, ni même dans un délai raisonnable ; elle a en effet laissé passer, sans agir, plus de onze mois jusqu’à l’introduction de la seconde poursuite, intervenue le 26 septembre 2016 (date de l’établissement du commande-ment de payer). Dans ces circonstances, il y a lieu de considérer qu’à cette date, la décision de taxation litigieuse était définitive et exécutoire. Il s’ensuit que la décision de taxation du 22 mai 2015 et le décompte final du même jour valent titres de mainlevée définitive pour les montants de 6'591 fr. (capital) et de 117 fr. 05 (intérêts moratoires sur acompte) réclamés en poursuite. d) Conformément à l’art 163 LIFD, les dettes fiscales doivent être payées dans les trente jours dès leur échéance. Celles qui n'ont pas</w:t>
      </w:r>
    </w:p>
    <w:p>
      <w:r>
        <w:t>- 9 - été acquittées dans le délai de paiement portent intérêt dès la fin du délai, au taux fixé par le département fédéral des finances (164 LIFD). Selon l’art. 3 al.1 litt. a de l’Ordonnance sur l’échéance et les intérêts en matière d’impôts fédéral direct du 10 décembre 1992 (RS 642.124), l’intérêt moratoire commence à courir trente jours après la notification du bordereau définitif ou provisoire. Le taux d’intérêt fixé par le département s’applique durant l’année civile concernée à toutes les créances fiscales, amendes et frais. Le taux d’intérêt applicable au début d’une procédure de poursuite reste toutefois valable jusqu’à l’issue de celle-ci. Dans l’annexe à l’ordonnance précitée, le taux d’intérêt a été arrêté à 3 % pour l’année 2013. En l’espèce, la décision de taxation indiquait un délai de paiement de trente jours à compter de la notification. Faute de preuve de notification antérieure au 16 octobre 2015, il y a lieu de considérer que l’intérêt moratoire court dès le 16 novembre 2015, lendemain de l’échéance dudit délai. III. En conclusion, le recours doit être admis et le prononcé réformé en ce sens que l’opposition est levée définitivement à concurrence de 6'591 fr. avec intérêt à 3 % l’an dès le 16 novembre 2015 et de 117 fr. 05 sans intérêt. Vu l’admission du recours, les frais judiciaires de première instance, fixés à 180 fr., doivent être mis à la charge de la poursuivie (art. 106 al. 1 CPC). Pour le même motif, les frais judiciaires de deuxième instance, arrêtés à 405 fr., doivent être mis à la charge de l’intimée. Il n’y a pas lieu à l’allocation de dépens de deuxième instance, la recourante ayant agi sans l’assistance d’un mandataire professionnel.</w:t>
      </w:r>
    </w:p>
    <w:p>
      <w:r>
        <w:t>- 10 -</w:t>
      </w:r>
    </w:p>
    <w:p>
      <w:r>
        <w:rPr>
          <w:b/>
        </w:rPr>
        <w:t>E. 3</w:t>
      </w:r>
    </w:p>
    <w:p>
      <w:r>
        <w:t>Le 2 mars 2017, la poursuivante a recouru contre ce prononcé, concluant à sa réforme en ce sens que la mainlevée définitive est accordée à concurrence du montant en poursuite. L'intimée s'est déterminée dans une écriture du 7 avril 2017, concluant, avec dépens, au rejet du recours. En d roit : I. Déposé dans les formes requises, par acte écrit et motivé (art. 321 al. 1 CPC [Code de procédure civile; RS 272]), et en temps utile, dans le délai de dix jours suivant la notification du prononcé attaqué (art. 321 al. 2 CPC), le recours est recevable. II. a) Selon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w:t>
      </w:r>
    </w:p>
    <w:p>
      <w:r>
        <w:t>- 5 -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2e éd., n. 120 ad art. 80 LP; Panchaud/ Caprez, La mainlevée d’opposition, § 122). Selon l’art. 165 al. 3 LIFD (loi fédérale du 14 décembre 1990 sur l’impôt fédéral direct; RS 642.11),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spéc. pp. 365- 366). Il appartient à l’autorité qui invoque une décision administrative à l’appui d’une requête de mainlevée définitive de prouver que la décision a été notifiée et qu’elle est entrée en force, faute d’avoir été contestée en temps utile (ATF 105 III 43, JT 1980 II 117).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w:t>
      </w:r>
    </w:p>
    <w:p>
      <w:r>
        <w:t>- 6 - de première instance compétent en matière de mainlevée d'opposition (Rigot, Le recouvrement forcé des créances de droit public selon le droit de poursuite pour dettes et la faillite, thèse 1991, pp. 154-155 ; CPF, 4 octobre 2007/363). Selon la jurisprudence du Tribunal fédéral, l'autorité qui entend se prémunir contre le risque d'échec de la preuve de la notification doit communiquer ses actes (judiciaires) sous pli recommandé avec accusé de réception (TF 1B_300/2009 du 26 novembre 2009 et les réf. cit.). Selon la jurisprudence désormais établie de la cour de céans (CPF, 5 juillet 2013/276 consid. II b); JdT 2011 III 58), dans le sillage de celle du Tribunal fédéral (cf. parmi plusieurs : TF 5D_49/2013 du 29 juillet 2013 consid. 6.3 ; 5A_359/2013 du 15 juillet 2013 consid. 4.1; 5D_173/2008 du 20 février 2009 consid. 5.1; ATF 105 III 43 consid. 3), l'attitude générale du poursuivi en procédure fait partie de l’"ensemble des circonstances"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18 décembre 2014/412 ; CPF 5 avril 2016/118). b) En l’espèce, dans le cadre d’une précédente poursuite concernant la même créance et fondée sur la même décision de taxation (du 22 mai 2015) que la présente procédure, la cour de céans avait considéré qu’il y avait lieu de maintenir l’opposition faite au commandement de payer, dès lors que la poursuivie avait contesté avoir reçu notification de la décision invoquée et que la poursuivante n’avait pas apporté la preuve de cette notification (CPF, 5 avril 2016/116). Cela étant, la poursuivante a introduit une nouvelle poursuite, celle faisant l’objet de la présente procédure.</w:t>
      </w:r>
    </w:p>
    <w:p>
      <w:r>
        <w:t>- 7 - La recourante admet ne pas avoir procédé à une nouvelle notification formelle de la décision en cause, mais fait valoir que l’aveu de la poursuivie quant à la notification résulte de ses déterminations du 16 octobre 2015, dans lesquelles elle se référait expressément à la décision de taxation litigieuse, qui avait été produite en procédure. Elle soutient ainsi que la notification de la décision de taxation du 22 mai 2015 est intervenue au plus tard le 16 octobre 2015 et qu’il appartenait à la poursuivie de recourir dans un délai de trente jours à compter de cette date, de sorte que la décision était définitive et exécutoire au moment de la notification du nouveau commandement de payer (le 28 septembre 2016). L’intimée soutient, quant à elle, que seule une nouvelle notification formelle de la décision de taxation invoquée est susceptible de fonder le prononcé de la mainlevée définitive. c) Une décision irrégulièrement notifiée n’est pas nulle, mais simple-ment inopposable à ceux qui auraient dû en être destinataires ; une telle décision ne peut donc pas les lier, mais la protection des parties est suffisamment garantie lorsque la notification irrégulière atteint son but malgré cette irrégularité (ATF 132 II 21 consid. 3.1 ; TF 8C_130/2014 du 22 janvier 2015 consid. 2.3.2 publié in SJ 2015 I 293). Il y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 ; ainsi, l’intéressé doit agir dans un délai raisonnable dès qu’il a connaissance de quelque manière que ce soit de la décision qu’il entend contester (ATF 111 V 149 consid. 4c ; TF 1C_15/2016 du 1er septembre 2016 consid. 2.2 ; TF 9C_202/2014 du 11 juillet 2014 consid. 4.2). Attendre passivement serait en effet contraire au principe de la bonne foi (TF 9C_202/2014 du 11 juillet 2014 consid. 4.2 et les réf. cit.).</w:t>
      </w:r>
    </w:p>
    <w:p>
      <w:r>
        <w:t>- 8 - Contrevient évidemment à la bonne foi celui qui omet de se renseigner pendant plusieurs années (ATF 107 Ia 72 consid. 4a) ; il en va de même de celui qui reste inactif pendant deux mois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 même court dès cette date (TF 1C_15/2016 du 1er septembre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